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1952" w:rsidRPr="002F74E7" w:rsidRDefault="00731952" w:rsidP="00731952">
      <w:pPr>
        <w:pStyle w:val="M1stheader"/>
        <w:rPr>
          <w:lang w:val="de-CH"/>
        </w:rPr>
      </w:pPr>
      <w:r w:rsidRPr="002F74E7">
        <w:rPr>
          <w:iCs/>
          <w:lang w:val="de-CH"/>
        </w:rPr>
        <w:t>Materials</w:t>
      </w:r>
      <w:r w:rsidRPr="002F74E7">
        <w:rPr>
          <w:lang w:val="de-CH"/>
        </w:rPr>
        <w:t xml:space="preserve"> </w:t>
      </w:r>
      <w:r w:rsidRPr="002F74E7">
        <w:rPr>
          <w:b/>
          <w:i w:val="0"/>
          <w:iCs/>
          <w:lang w:val="de-CH"/>
        </w:rPr>
        <w:t>200</w:t>
      </w:r>
      <w:r w:rsidR="002F74E7" w:rsidRPr="002F74E7">
        <w:rPr>
          <w:b/>
          <w:i w:val="0"/>
          <w:iCs/>
          <w:lang w:val="de-CH"/>
        </w:rPr>
        <w:t>9</w:t>
      </w:r>
      <w:r w:rsidRPr="002F74E7">
        <w:rPr>
          <w:i w:val="0"/>
          <w:iCs/>
          <w:lang w:val="de-CH"/>
        </w:rPr>
        <w:t>,</w:t>
      </w:r>
      <w:r w:rsidRPr="002F74E7">
        <w:rPr>
          <w:lang w:val="de-CH"/>
        </w:rPr>
        <w:t xml:space="preserve"> </w:t>
      </w:r>
      <w:r w:rsidR="002F74E7" w:rsidRPr="002F74E7">
        <w:rPr>
          <w:lang w:val="de-CH"/>
        </w:rPr>
        <w:t>2</w:t>
      </w:r>
      <w:r w:rsidRPr="002F74E7">
        <w:rPr>
          <w:i w:val="0"/>
          <w:iCs/>
          <w:lang w:val="de-CH"/>
        </w:rPr>
        <w:t xml:space="preserve">, 1-x manuscripts; </w:t>
      </w:r>
      <w:r w:rsidR="0008232E">
        <w:rPr>
          <w:i w:val="0"/>
          <w:iCs/>
          <w:lang w:val="de-CH"/>
        </w:rPr>
        <w:t>doi</w:t>
      </w:r>
      <w:r w:rsidRPr="0014554B">
        <w:rPr>
          <w:i w:val="0"/>
          <w:lang w:val="de-DE"/>
        </w:rPr>
        <w:t>:10.3390/</w:t>
      </w:r>
      <w:r>
        <w:rPr>
          <w:i w:val="0"/>
          <w:lang w:val="de-DE"/>
        </w:rPr>
        <w:t>ma</w:t>
      </w:r>
      <w:r w:rsidR="0008232E">
        <w:rPr>
          <w:i w:val="0"/>
          <w:lang w:val="de-DE"/>
        </w:rPr>
        <w:t>20x000x</w:t>
      </w:r>
    </w:p>
    <w:p w:rsidR="00731952" w:rsidRDefault="00972415" w:rsidP="00731952">
      <w:pPr>
        <w:pStyle w:val="MLogo"/>
        <w:spacing w:before="0"/>
        <w:rPr>
          <w:b w:val="0"/>
          <w:i w:val="0"/>
          <w:color w:val="008080"/>
          <w:sz w:val="28"/>
        </w:rPr>
      </w:pPr>
      <w:r w:rsidRPr="00AA003F">
        <w:pict>
          <v:shapetype id="_x0000_t202" coordsize="21600,21600" o:spt="202" path="m,l,21600r21600,l21600,xe">
            <v:stroke joinstyle="miter"/>
            <v:path gradientshapeok="t" o:connecttype="rect"/>
          </v:shapetype>
          <v:shape id="_x0000_s1026" type="#_x0000_t202" style="width:79.3pt;height:11.65pt;mso-position-horizontal-relative:char;mso-position-vertical-relative:line" fillcolor="#00b0f0" stroked="f">
            <v:textbox style="mso-next-textbox:#_x0000_s1026;mso-fit-shape-to-text:t" inset="0,0,0,0">
              <w:txbxContent>
                <w:p w:rsidR="005B681F" w:rsidRDefault="005B681F" w:rsidP="00731952">
                  <w:pPr>
                    <w:widowControl w:val="0"/>
                    <w:spacing w:line="240" w:lineRule="auto"/>
                    <w:jc w:val="center"/>
                    <w:rPr>
                      <w:b/>
                      <w:color w:val="00B0F0"/>
                      <w:sz w:val="20"/>
                      <w:lang w:val="fr-FR"/>
                    </w:rPr>
                  </w:pPr>
                  <w:r>
                    <w:rPr>
                      <w:b/>
                      <w:color w:val="FFFFFF"/>
                      <w:sz w:val="20"/>
                      <w:lang w:val="fr-FR"/>
                    </w:rPr>
                    <w:t>OPEN ACCESS</w:t>
                  </w:r>
                </w:p>
              </w:txbxContent>
            </v:textbox>
            <w10:wrap type="none"/>
            <w10:anchorlock/>
          </v:shape>
        </w:pict>
      </w:r>
    </w:p>
    <w:p w:rsidR="00731952" w:rsidRDefault="00731952" w:rsidP="00731952">
      <w:pPr>
        <w:pStyle w:val="MLogo"/>
        <w:spacing w:before="0"/>
        <w:rPr>
          <w:b w:val="0"/>
          <w:i w:val="0"/>
          <w:sz w:val="24"/>
        </w:rPr>
      </w:pPr>
      <w:r w:rsidRPr="00D00BDE">
        <w:rPr>
          <w:bCs/>
          <w:iCs/>
          <w:color w:val="996633"/>
          <w:szCs w:val="64"/>
        </w:rPr>
        <w:t>materials</w:t>
      </w:r>
      <w:r>
        <w:rPr>
          <w:i w:val="0"/>
          <w:color w:val="008080"/>
        </w:rPr>
        <w:br/>
      </w:r>
      <w:r>
        <w:rPr>
          <w:i w:val="0"/>
          <w:sz w:val="24"/>
        </w:rPr>
        <w:t>ISSN 1996-1944</w:t>
      </w:r>
      <w:r>
        <w:rPr>
          <w:i w:val="0"/>
          <w:sz w:val="24"/>
        </w:rPr>
        <w:br/>
      </w:r>
      <w:r w:rsidR="002F74E7" w:rsidRPr="002F74E7">
        <w:rPr>
          <w:b w:val="0"/>
          <w:i w:val="0"/>
          <w:sz w:val="24"/>
        </w:rPr>
        <w:t>www.mdpi.com/journal/materials</w:t>
      </w:r>
    </w:p>
    <w:p w:rsidR="005F345A" w:rsidRDefault="002F74E7" w:rsidP="005F345A">
      <w:pPr>
        <w:pStyle w:val="MTitel"/>
        <w:spacing w:after="240"/>
        <w:rPr>
          <w:b w:val="0"/>
          <w:i/>
          <w:sz w:val="24"/>
          <w:szCs w:val="24"/>
        </w:rPr>
      </w:pPr>
      <w:r>
        <w:rPr>
          <w:b w:val="0"/>
          <w:i/>
          <w:sz w:val="24"/>
          <w:szCs w:val="24"/>
        </w:rPr>
        <w:t>Article</w:t>
      </w:r>
    </w:p>
    <w:p w:rsidR="00B615DC" w:rsidRPr="005F345A" w:rsidRDefault="005F345A" w:rsidP="005F345A">
      <w:pPr>
        <w:pStyle w:val="MTitel"/>
        <w:spacing w:after="240"/>
        <w:rPr>
          <w:b w:val="0"/>
          <w:i/>
          <w:sz w:val="24"/>
          <w:szCs w:val="24"/>
        </w:rPr>
      </w:pPr>
      <w:r w:rsidRPr="005F345A">
        <w:rPr>
          <w:bCs/>
        </w:rPr>
        <w:t>Nanoporous carbide-derived carbon material based linear actuators</w:t>
      </w:r>
    </w:p>
    <w:p w:rsidR="00B615DC" w:rsidRDefault="005F345A" w:rsidP="00B615DC">
      <w:pPr>
        <w:pStyle w:val="Mauthor"/>
      </w:pPr>
      <w:r w:rsidRPr="005F345A">
        <w:rPr>
          <w:lang w:val="sv-SE"/>
        </w:rPr>
        <w:t>Janno Torop</w:t>
      </w:r>
      <w:r>
        <w:rPr>
          <w:vertAlign w:val="superscript"/>
          <w:lang w:val="sv-SE"/>
        </w:rPr>
        <w:t xml:space="preserve"> </w:t>
      </w:r>
      <w:r w:rsidRPr="005F345A">
        <w:rPr>
          <w:vertAlign w:val="superscript"/>
          <w:lang w:val="sv-SE"/>
        </w:rPr>
        <w:t>1</w:t>
      </w:r>
      <w:r w:rsidRPr="005F345A">
        <w:rPr>
          <w:lang w:val="sv-SE"/>
        </w:rPr>
        <w:t>, Mati Arulepp</w:t>
      </w:r>
      <w:r>
        <w:rPr>
          <w:vertAlign w:val="superscript"/>
          <w:lang w:val="sv-SE"/>
        </w:rPr>
        <w:t xml:space="preserve"> </w:t>
      </w:r>
      <w:r w:rsidRPr="005F345A">
        <w:rPr>
          <w:vertAlign w:val="superscript"/>
          <w:lang w:val="sv-SE"/>
        </w:rPr>
        <w:t>2</w:t>
      </w:r>
      <w:r w:rsidRPr="005F345A">
        <w:rPr>
          <w:lang w:val="sv-SE"/>
        </w:rPr>
        <w:t>, Jaan Leis</w:t>
      </w:r>
      <w:r>
        <w:rPr>
          <w:vertAlign w:val="superscript"/>
          <w:lang w:val="sv-SE"/>
        </w:rPr>
        <w:t xml:space="preserve"> </w:t>
      </w:r>
      <w:r w:rsidRPr="005F345A">
        <w:rPr>
          <w:vertAlign w:val="superscript"/>
          <w:lang w:val="sv-SE"/>
        </w:rPr>
        <w:t>2,3</w:t>
      </w:r>
      <w:r w:rsidRPr="005F345A">
        <w:rPr>
          <w:lang w:val="sv-SE"/>
        </w:rPr>
        <w:t>, Andres Punning</w:t>
      </w:r>
      <w:r>
        <w:rPr>
          <w:vertAlign w:val="superscript"/>
          <w:lang w:val="sv-SE"/>
        </w:rPr>
        <w:t xml:space="preserve"> </w:t>
      </w:r>
      <w:r w:rsidRPr="005F345A">
        <w:rPr>
          <w:vertAlign w:val="superscript"/>
          <w:lang w:val="sv-SE"/>
        </w:rPr>
        <w:t>1</w:t>
      </w:r>
      <w:r w:rsidRPr="005F345A">
        <w:rPr>
          <w:lang w:val="sv-SE"/>
        </w:rPr>
        <w:t>, Urmas Johanson</w:t>
      </w:r>
      <w:r>
        <w:rPr>
          <w:vertAlign w:val="superscript"/>
          <w:lang w:val="sv-SE"/>
        </w:rPr>
        <w:t xml:space="preserve"> </w:t>
      </w:r>
      <w:r w:rsidRPr="005F345A">
        <w:rPr>
          <w:vertAlign w:val="superscript"/>
          <w:lang w:val="sv-SE"/>
        </w:rPr>
        <w:t>1</w:t>
      </w:r>
      <w:r w:rsidRPr="005F345A">
        <w:rPr>
          <w:lang w:val="sv-SE"/>
        </w:rPr>
        <w:t>,</w:t>
      </w:r>
      <w:r w:rsidR="00FA3C6B" w:rsidRPr="00FA3C6B">
        <w:t xml:space="preserve"> </w:t>
      </w:r>
      <w:r w:rsidR="00FA3C6B">
        <w:br/>
      </w:r>
      <w:r w:rsidRPr="005F345A">
        <w:rPr>
          <w:lang w:val="sv-SE"/>
        </w:rPr>
        <w:t xml:space="preserve"> Viljar Palmre</w:t>
      </w:r>
      <w:r w:rsidR="00FA3C6B">
        <w:rPr>
          <w:lang w:val="sv-SE"/>
        </w:rPr>
        <w:t xml:space="preserve"> </w:t>
      </w:r>
      <w:r w:rsidRPr="005F345A">
        <w:rPr>
          <w:vertAlign w:val="superscript"/>
          <w:lang w:val="sv-SE"/>
        </w:rPr>
        <w:t>1</w:t>
      </w:r>
      <w:r>
        <w:rPr>
          <w:lang w:val="sv-SE"/>
        </w:rPr>
        <w:t xml:space="preserve"> and </w:t>
      </w:r>
      <w:r w:rsidRPr="005F345A">
        <w:rPr>
          <w:lang w:val="sv-SE"/>
        </w:rPr>
        <w:t>Alvo Aabloo</w:t>
      </w:r>
      <w:r>
        <w:rPr>
          <w:vertAlign w:val="superscript"/>
          <w:lang w:val="sv-SE"/>
        </w:rPr>
        <w:t xml:space="preserve"> </w:t>
      </w:r>
      <w:r w:rsidRPr="005F345A">
        <w:rPr>
          <w:vertAlign w:val="superscript"/>
          <w:lang w:val="sv-SE"/>
        </w:rPr>
        <w:t>1</w:t>
      </w:r>
      <w:r w:rsidR="00F116B0">
        <w:rPr>
          <w:vertAlign w:val="superscript"/>
          <w:lang w:val="sv-SE"/>
        </w:rPr>
        <w:t>,</w:t>
      </w:r>
      <w:r>
        <w:rPr>
          <w:vertAlign w:val="superscript"/>
          <w:lang w:val="sv-SE"/>
        </w:rPr>
        <w:t xml:space="preserve"> </w:t>
      </w:r>
      <w:r w:rsidR="00F116B0">
        <w:t>*</w:t>
      </w:r>
    </w:p>
    <w:p w:rsidR="00F116B0" w:rsidRDefault="005F345A" w:rsidP="00B615DC">
      <w:pPr>
        <w:pStyle w:val="Maddress"/>
      </w:pPr>
      <w:r w:rsidRPr="00DD4FD6">
        <w:rPr>
          <w:vertAlign w:val="superscript"/>
        </w:rPr>
        <w:t xml:space="preserve">1 </w:t>
      </w:r>
      <w:r w:rsidRPr="005F345A">
        <w:t>IMS Lab, Institute of Technology, University of Tartu, Nooruse1, 50411 Tartu, Estonia</w:t>
      </w:r>
      <w:r w:rsidR="00F116B0">
        <w:br/>
      </w:r>
      <w:r w:rsidR="00F116B0" w:rsidRPr="00DD4FD6">
        <w:rPr>
          <w:vertAlign w:val="superscript"/>
        </w:rPr>
        <w:t>2</w:t>
      </w:r>
      <w:r w:rsidR="00F116B0">
        <w:t xml:space="preserve"> </w:t>
      </w:r>
      <w:r w:rsidRPr="005F345A">
        <w:t>Carbon Nanotech Ltd., Riia 185, 51014 Tartu, Estonia</w:t>
      </w:r>
      <w:r w:rsidR="00F116B0">
        <w:br/>
      </w:r>
      <w:r w:rsidR="00F116B0" w:rsidRPr="00DD4FD6">
        <w:rPr>
          <w:vertAlign w:val="superscript"/>
        </w:rPr>
        <w:t>3</w:t>
      </w:r>
      <w:r w:rsidR="00F116B0">
        <w:t xml:space="preserve"> </w:t>
      </w:r>
      <w:r w:rsidR="00F116B0" w:rsidRPr="00F116B0">
        <w:t>Institute</w:t>
      </w:r>
      <w:r w:rsidR="00F116B0" w:rsidRPr="00F116B0">
        <w:rPr>
          <w:i/>
        </w:rPr>
        <w:t xml:space="preserve"> </w:t>
      </w:r>
      <w:r w:rsidR="00F116B0" w:rsidRPr="00F116B0">
        <w:t>of Chemistry, University of Tartu, Ravila 14a, 50411, Tartu, Estonia</w:t>
      </w:r>
    </w:p>
    <w:p w:rsidR="00B615DC" w:rsidRPr="00F116B0" w:rsidRDefault="002829ED" w:rsidP="00B615DC">
      <w:pPr>
        <w:pStyle w:val="Maddress"/>
        <w:rPr>
          <w:lang w:val="de-DE"/>
        </w:rPr>
      </w:pPr>
      <w:r>
        <w:rPr>
          <w:lang w:val="de-DE"/>
        </w:rPr>
        <w:t xml:space="preserve">E-Mails: </w:t>
      </w:r>
      <w:hyperlink r:id="rId8" w:history="1">
        <w:r w:rsidRPr="003228C2">
          <w:rPr>
            <w:rStyle w:val="Hyperlink"/>
            <w:lang w:val="de-DE"/>
          </w:rPr>
          <w:t>janno.torop@ut.ee</w:t>
        </w:r>
      </w:hyperlink>
      <w:r>
        <w:rPr>
          <w:lang w:val="de-DE"/>
        </w:rPr>
        <w:t xml:space="preserve"> (J. T.); </w:t>
      </w:r>
      <w:hyperlink r:id="rId9" w:history="1">
        <w:r w:rsidR="00F116B0" w:rsidRPr="003228C2">
          <w:rPr>
            <w:rStyle w:val="Hyperlink"/>
            <w:lang w:val="de-DE"/>
          </w:rPr>
          <w:t>alvo.aabloo@ut.ee</w:t>
        </w:r>
      </w:hyperlink>
      <w:r w:rsidR="00F116B0">
        <w:rPr>
          <w:lang w:val="de-DE"/>
        </w:rPr>
        <w:t xml:space="preserve"> (A. A)</w:t>
      </w:r>
    </w:p>
    <w:p w:rsidR="00B615DC" w:rsidRDefault="00B615DC" w:rsidP="00B615DC">
      <w:pPr>
        <w:pStyle w:val="Maddress"/>
        <w:rPr>
          <w:i/>
        </w:rPr>
      </w:pPr>
      <w:r>
        <w:t>* Author to whom correspondence should be</w:t>
      </w:r>
      <w:r w:rsidR="00F116B0">
        <w:t xml:space="preserve"> addressed;</w:t>
      </w:r>
      <w:r w:rsidR="001A6ED4">
        <w:t xml:space="preserve"> E-Mail:</w:t>
      </w:r>
      <w:r w:rsidR="00F116B0">
        <w:t xml:space="preserve"> </w:t>
      </w:r>
      <w:hyperlink r:id="rId10" w:history="1">
        <w:r w:rsidR="001A6ED4" w:rsidRPr="003228C2">
          <w:rPr>
            <w:rStyle w:val="Hyperlink"/>
            <w:lang w:val="de-DE"/>
          </w:rPr>
          <w:t>alvo.aabloo@ut.ee</w:t>
        </w:r>
      </w:hyperlink>
      <w:r w:rsidR="001A6ED4">
        <w:rPr>
          <w:lang w:val="de-DE"/>
        </w:rPr>
        <w:t>;</w:t>
      </w:r>
      <w:r w:rsidR="001A6ED4">
        <w:br/>
      </w:r>
      <w:r w:rsidR="00F116B0">
        <w:t>Tel</w:t>
      </w:r>
      <w:r w:rsidR="001A6ED4">
        <w:t>.:</w:t>
      </w:r>
      <w:r w:rsidR="00F116B0">
        <w:t>+</w:t>
      </w:r>
      <w:r w:rsidR="001A6ED4">
        <w:t>372-</w:t>
      </w:r>
      <w:r w:rsidR="00F116B0">
        <w:t>7</w:t>
      </w:r>
      <w:r w:rsidR="001A6ED4">
        <w:t>-</w:t>
      </w:r>
      <w:r w:rsidR="00F116B0">
        <w:t>375</w:t>
      </w:r>
      <w:r w:rsidR="001A6ED4">
        <w:t>-</w:t>
      </w:r>
      <w:r w:rsidR="00F116B0">
        <w:t>534</w:t>
      </w:r>
      <w:r>
        <w:t>;</w:t>
      </w:r>
      <w:r w:rsidR="001A6ED4">
        <w:t xml:space="preserve"> Fax:+</w:t>
      </w:r>
      <w:r w:rsidR="001A6ED4" w:rsidRPr="001A6ED4">
        <w:t xml:space="preserve"> </w:t>
      </w:r>
      <w:r w:rsidR="001A6ED4">
        <w:t>372-7-374-825</w:t>
      </w:r>
    </w:p>
    <w:p w:rsidR="00B615DC" w:rsidRDefault="00B615DC" w:rsidP="00B615DC">
      <w:pPr>
        <w:pStyle w:val="Mreceived"/>
      </w:pPr>
      <w:r>
        <w:t>Received: / Accepted: /</w:t>
      </w:r>
      <w:r>
        <w:rPr>
          <w:lang w:val="sr-Cyrl-CS"/>
        </w:rPr>
        <w:t xml:space="preserve"> </w:t>
      </w:r>
      <w:r>
        <w:t xml:space="preserve">Published: </w:t>
      </w:r>
    </w:p>
    <w:p w:rsidR="00B615DC" w:rsidRDefault="00B615DC" w:rsidP="00B615DC">
      <w:pPr>
        <w:pStyle w:val="Mline1"/>
      </w:pPr>
    </w:p>
    <w:p w:rsidR="00B615DC" w:rsidRDefault="00B615DC" w:rsidP="00B615DC">
      <w:pPr>
        <w:pStyle w:val="Mabstract"/>
        <w:rPr>
          <w:lang w:eastAsia="en-US"/>
        </w:rPr>
      </w:pPr>
      <w:r>
        <w:rPr>
          <w:b/>
          <w:lang w:eastAsia="en-US"/>
        </w:rPr>
        <w:t xml:space="preserve">Abstract: </w:t>
      </w:r>
      <w:r w:rsidR="001A6ED4">
        <w:t>Devices using electroactive polymer-supported carbon material can be exploited as alternatives to conventional electromechanical actuators in applications where electromechanical actuators have some serious deficiencies. One of the numerous examples is precise microactuators. In this paper, we show for first time the dilatometric effect in nanocomposite material actuators containing carbide-derived carbon (CDC)</w:t>
      </w:r>
      <w:r w:rsidR="001A6ED4" w:rsidRPr="00516964">
        <w:t xml:space="preserve"> </w:t>
      </w:r>
      <w:r w:rsidR="001A6ED4">
        <w:t>and polytetrafluoroetylene polyme</w:t>
      </w:r>
      <w:r w:rsidR="00B15C71">
        <w:t>r (PTFE). Transducers based on</w:t>
      </w:r>
      <w:r w:rsidR="001A6ED4">
        <w:t xml:space="preserve"> high surface area carbide-derived carbon electrode materials are suitable for short range displacement applications, because of the proportional actuation response to the charge inserted, and high Coulumbic efficiency due to the EDL capacitance. The material is capable to develop stresses in the range of tens N cm</w:t>
      </w:r>
      <w:r w:rsidR="001A6ED4">
        <w:rPr>
          <w:vertAlign w:val="superscript"/>
        </w:rPr>
        <w:t>-2</w:t>
      </w:r>
      <w:r w:rsidR="001A6ED4">
        <w:t>. The area of an actuator can be dozens of cm</w:t>
      </w:r>
      <w:r w:rsidR="001A6ED4">
        <w:rPr>
          <w:vertAlign w:val="superscript"/>
        </w:rPr>
        <w:t>2</w:t>
      </w:r>
      <w:r w:rsidR="001A6ED4">
        <w:t>, which means that forces above 100 N are achievable. The actuation mechanism is based on the interactions between the high-surface carbon and the ions of the electrolyte. Electrochemical evaluations of the four different actuators with linear (longitudinal) action response are described. The actuator electrodes were made from two types of nanoporous TiC-derived carbons with surface area (S</w:t>
      </w:r>
      <w:r w:rsidR="001A6ED4">
        <w:rPr>
          <w:vertAlign w:val="subscript"/>
        </w:rPr>
        <w:t>A</w:t>
      </w:r>
      <w:r w:rsidR="001A6ED4">
        <w:t>) of 1150 m</w:t>
      </w:r>
      <w:r w:rsidR="001A6ED4">
        <w:rPr>
          <w:vertAlign w:val="superscript"/>
        </w:rPr>
        <w:t>2</w:t>
      </w:r>
      <w:r w:rsidR="001A6ED4">
        <w:t>·g</w:t>
      </w:r>
      <w:r w:rsidR="001A6ED4">
        <w:rPr>
          <w:vertAlign w:val="superscript"/>
        </w:rPr>
        <w:t>-1</w:t>
      </w:r>
      <w:r w:rsidR="001A6ED4">
        <w:t xml:space="preserve"> and 1470 m</w:t>
      </w:r>
      <w:r w:rsidR="001A6ED4">
        <w:rPr>
          <w:vertAlign w:val="superscript"/>
        </w:rPr>
        <w:t>2</w:t>
      </w:r>
      <w:r w:rsidR="001A6ED4">
        <w:t>·g</w:t>
      </w:r>
      <w:r w:rsidR="001A6ED4">
        <w:rPr>
          <w:vertAlign w:val="superscript"/>
        </w:rPr>
        <w:t>-1</w:t>
      </w:r>
      <w:r w:rsidR="001A6ED4">
        <w:t>, respectively. Two kinds of electrolytes were used in actuators: 1.0 M tetraethylammonium tetrafluoroborate (TEABF</w:t>
      </w:r>
      <w:r w:rsidR="001A6ED4">
        <w:rPr>
          <w:vertAlign w:val="subscript"/>
        </w:rPr>
        <w:t>4</w:t>
      </w:r>
      <w:r w:rsidR="001A6ED4">
        <w:t xml:space="preserve">) solution in propylene carbonate and pure ionic liquid 1-ethyl-3-methylimidazolium trifluoromethanesulfonate (EMITf). It was found that CDC based actuators exhibit a linear movement of about 1% in </w:t>
      </w:r>
      <w:r w:rsidR="002818E4">
        <w:lastRenderedPageBreak/>
        <w:t>the voltage range of 0.8 V</w:t>
      </w:r>
      <w:r w:rsidR="001A6ED4">
        <w:t xml:space="preserve"> to 3.0</w:t>
      </w:r>
      <w:r w:rsidR="002818E4">
        <w:t xml:space="preserve"> </w:t>
      </w:r>
      <w:r w:rsidR="001A6ED4">
        <w:t>V at DC. The actuators with EMITf electrolyte had about 70% larger movement compared to the specimen with TEABF</w:t>
      </w:r>
      <w:r w:rsidR="001A6ED4">
        <w:rPr>
          <w:vertAlign w:val="subscript"/>
        </w:rPr>
        <w:t xml:space="preserve">4 </w:t>
      </w:r>
      <w:r w:rsidR="00DD023B">
        <w:t>electrolyte</w:t>
      </w:r>
      <w:r>
        <w:rPr>
          <w:lang w:eastAsia="en-US"/>
        </w:rPr>
        <w:t>.</w:t>
      </w:r>
    </w:p>
    <w:p w:rsidR="00B615DC" w:rsidRDefault="00B615DC" w:rsidP="00B615DC">
      <w:pPr>
        <w:pStyle w:val="Mabstract"/>
        <w:rPr>
          <w:lang w:eastAsia="en-US"/>
        </w:rPr>
      </w:pPr>
      <w:r>
        <w:rPr>
          <w:b/>
          <w:lang w:eastAsia="en-US"/>
        </w:rPr>
        <w:t>Keywords:</w:t>
      </w:r>
      <w:r w:rsidR="00754477">
        <w:rPr>
          <w:b/>
          <w:lang w:eastAsia="en-US"/>
        </w:rPr>
        <w:t xml:space="preserve"> </w:t>
      </w:r>
      <w:r w:rsidR="00754477" w:rsidRPr="00754477">
        <w:t>Linear actuator; Porous carbon; Ionic liquid; Carbide-derived carbon; Electroactive polymer (EAP) actuator</w:t>
      </w:r>
    </w:p>
    <w:p w:rsidR="00B615DC" w:rsidRDefault="00B615DC" w:rsidP="00B615DC">
      <w:pPr>
        <w:pStyle w:val="Mline2"/>
        <w:rPr>
          <w:lang w:eastAsia="en-US"/>
        </w:rPr>
      </w:pPr>
    </w:p>
    <w:p w:rsidR="00B615DC" w:rsidRDefault="00B615DC" w:rsidP="00DD4FD6">
      <w:pPr>
        <w:pStyle w:val="MHeading1"/>
      </w:pPr>
      <w:r>
        <w:rPr>
          <w:rFonts w:hint="eastAsia"/>
          <w:lang w:eastAsia="zh-CN"/>
        </w:rPr>
        <w:t>1</w:t>
      </w:r>
      <w:r>
        <w:rPr>
          <w:lang w:eastAsia="zh-CN"/>
        </w:rPr>
        <w:t xml:space="preserve">. </w:t>
      </w:r>
      <w:r w:rsidR="00754477">
        <w:t>Introduction</w:t>
      </w:r>
    </w:p>
    <w:p w:rsidR="000A75C5" w:rsidRPr="000A75C5" w:rsidRDefault="000A75C5" w:rsidP="000A75C5">
      <w:pPr>
        <w:pStyle w:val="MText"/>
        <w:rPr>
          <w:lang w:eastAsia="en-US"/>
        </w:rPr>
      </w:pPr>
      <w:r w:rsidRPr="000A75C5">
        <w:rPr>
          <w:lang w:eastAsia="en-US"/>
        </w:rPr>
        <w:t>Electroactive materials can r</w:t>
      </w:r>
      <w:r w:rsidR="00DD023B">
        <w:rPr>
          <w:lang w:eastAsia="en-US"/>
        </w:rPr>
        <w:t>espond to electrical stimulus</w:t>
      </w:r>
      <w:r w:rsidRPr="000A75C5">
        <w:rPr>
          <w:lang w:eastAsia="en-US"/>
        </w:rPr>
        <w:t xml:space="preserve"> with a significant shape or size change. Polymer-composite electroactive materials are the object of interest due to their small dimensions and the possibility to make displacement in any direction. These materials can be cut (almost) in any shape and form, and some of them, for example, the respective materials like ionic polymer metal composites (IPMC) may work</w:t>
      </w:r>
      <w:r w:rsidR="0061426C">
        <w:rPr>
          <w:lang w:eastAsia="en-US"/>
        </w:rPr>
        <w:t xml:space="preserve"> at relatively low voltages (1 -</w:t>
      </w:r>
      <w:r w:rsidRPr="000A75C5">
        <w:rPr>
          <w:lang w:eastAsia="en-US"/>
        </w:rPr>
        <w:t xml:space="preserve"> 5</w:t>
      </w:r>
      <w:r w:rsidR="0061426C">
        <w:rPr>
          <w:lang w:eastAsia="en-US"/>
        </w:rPr>
        <w:t xml:space="preserve"> </w:t>
      </w:r>
      <w:r w:rsidRPr="000A75C5">
        <w:rPr>
          <w:lang w:eastAsia="en-US"/>
        </w:rPr>
        <w:t>V) [1</w:t>
      </w:r>
      <w:r w:rsidR="00FA3C6B">
        <w:rPr>
          <w:lang w:eastAsia="en-US"/>
        </w:rPr>
        <w:t xml:space="preserve"> </w:t>
      </w:r>
      <w:r w:rsidRPr="000A75C5">
        <w:rPr>
          <w:lang w:eastAsia="en-US"/>
        </w:rPr>
        <w:t>-</w:t>
      </w:r>
      <w:r w:rsidR="0061426C">
        <w:rPr>
          <w:lang w:eastAsia="en-US"/>
        </w:rPr>
        <w:t xml:space="preserve"> </w:t>
      </w:r>
      <w:r w:rsidRPr="000A75C5">
        <w:rPr>
          <w:lang w:eastAsia="en-US"/>
        </w:rPr>
        <w:t>4]. These properties make them valuable as mechanical actuators in applications where conventional actuators have their natural limitations. One of the promising areas of application is biomedical devices. EAP actuators are soft, easy to miniaturize and some of them can operate at low voltages.</w:t>
      </w:r>
    </w:p>
    <w:p w:rsidR="000A75C5" w:rsidRPr="000A75C5" w:rsidRDefault="000A75C5" w:rsidP="000A75C5">
      <w:pPr>
        <w:pStyle w:val="MText"/>
        <w:rPr>
          <w:lang w:eastAsia="en-US"/>
        </w:rPr>
      </w:pPr>
      <w:r w:rsidRPr="000A75C5">
        <w:rPr>
          <w:lang w:eastAsia="en-US"/>
        </w:rPr>
        <w:t>There are, however, some issues with the actuator materials not completely solved. The main problems are the short lifetime, the complexity of manufacturing process, not sufficient reproducibility of properties of formed actuators, the insufficient control and guidance of the actuator movement. It has been reported that the movement depends mainly on the used charge and not on the applied voltage. High-speed actuators with relatively high power are still a challenge [2,</w:t>
      </w:r>
      <w:r w:rsidR="000B4196">
        <w:rPr>
          <w:lang w:eastAsia="en-US"/>
        </w:rPr>
        <w:t xml:space="preserve"> </w:t>
      </w:r>
      <w:r w:rsidRPr="000A75C5">
        <w:rPr>
          <w:lang w:eastAsia="en-US"/>
        </w:rPr>
        <w:t xml:space="preserve">5]. </w:t>
      </w:r>
    </w:p>
    <w:p w:rsidR="000A75C5" w:rsidRPr="000A75C5" w:rsidRDefault="000A75C5" w:rsidP="000A75C5">
      <w:pPr>
        <w:pStyle w:val="MText"/>
        <w:rPr>
          <w:lang w:eastAsia="en-US"/>
        </w:rPr>
      </w:pPr>
      <w:r w:rsidRPr="000A75C5">
        <w:rPr>
          <w:lang w:eastAsia="en-US"/>
        </w:rPr>
        <w:t xml:space="preserve">Several types of carbon based electroactive materials are widely known [5]. </w:t>
      </w:r>
      <w:r w:rsidR="00CA2850">
        <w:rPr>
          <w:lang w:eastAsia="en-US"/>
        </w:rPr>
        <w:t>Carbon nanotubes (CNT), fullerene</w:t>
      </w:r>
      <w:r w:rsidRPr="000A75C5">
        <w:rPr>
          <w:lang w:eastAsia="en-US"/>
        </w:rPr>
        <w:t>s and graphene like structures are one of the attractive candidates for actuators. These materials have uniquely high mechanical actuation force properties, but low strain [6]. Carbon based actuators predicate on two main actuation mechanisms. The first principle is based on the electronic conductivity of carbon material. Actuators of such type need high electrical potential (field) for actuation [7]. Actuation occurs due to carbon-carbon interaction change due to high electrical field. Another principle is ion and ion pairs’ diffusion induced by applied low potential. These transducers usually combine carbon materials with polymer matrix and some ionic conducting media. They seem to have much more possible applications in near future [8,</w:t>
      </w:r>
      <w:r w:rsidR="00350C8F">
        <w:rPr>
          <w:lang w:eastAsia="en-US"/>
        </w:rPr>
        <w:t xml:space="preserve"> </w:t>
      </w:r>
      <w:r w:rsidRPr="000A75C5">
        <w:rPr>
          <w:lang w:eastAsia="en-US"/>
        </w:rPr>
        <w:t>9].</w:t>
      </w:r>
    </w:p>
    <w:p w:rsidR="000A75C5" w:rsidRPr="000A75C5" w:rsidRDefault="000A75C5" w:rsidP="000A75C5">
      <w:pPr>
        <w:pStyle w:val="MText"/>
        <w:rPr>
          <w:lang w:eastAsia="en-US"/>
        </w:rPr>
      </w:pPr>
      <w:r w:rsidRPr="000A75C5">
        <w:rPr>
          <w:lang w:eastAsia="en-US"/>
        </w:rPr>
        <w:t xml:space="preserve">Che Guangli </w:t>
      </w:r>
      <w:r w:rsidRPr="000A75C5">
        <w:rPr>
          <w:i/>
          <w:lang w:eastAsia="en-US"/>
        </w:rPr>
        <w:t>et al</w:t>
      </w:r>
      <w:r w:rsidR="00350C8F">
        <w:rPr>
          <w:lang w:eastAsia="en-US"/>
        </w:rPr>
        <w:t>.</w:t>
      </w:r>
      <w:r w:rsidRPr="000A75C5">
        <w:rPr>
          <w:lang w:eastAsia="en-US"/>
        </w:rPr>
        <w:t xml:space="preserve"> made the first example of an actuator based on a nanostructured carbon material. The actuator consisted of branched carbon nanotubules embedded within the pores of a microporous alumina template membrane and graphitic carbon used as the electroactive material. Electrochemical Li</w:t>
      </w:r>
      <w:r w:rsidRPr="000A75C5">
        <w:rPr>
          <w:vertAlign w:val="superscript"/>
          <w:lang w:eastAsia="en-US"/>
        </w:rPr>
        <w:t>+</w:t>
      </w:r>
      <w:r w:rsidRPr="000A75C5">
        <w:rPr>
          <w:lang w:eastAsia="en-US"/>
        </w:rPr>
        <w:t xml:space="preserve"> intercalation caused this nanotubule-containing membrane to flex, and electrochemical de-intercalation causes the membrane to relax to its original position [10]. </w:t>
      </w:r>
    </w:p>
    <w:p w:rsidR="000A75C5" w:rsidRPr="000A75C5" w:rsidRDefault="000A75C5" w:rsidP="000A75C5">
      <w:pPr>
        <w:pStyle w:val="MText"/>
        <w:rPr>
          <w:lang w:eastAsia="en-US"/>
        </w:rPr>
      </w:pPr>
      <w:r w:rsidRPr="000A75C5">
        <w:rPr>
          <w:lang w:eastAsia="en-US"/>
        </w:rPr>
        <w:t xml:space="preserve">CNT has been one of the most intensively studied carbon material [1]. The first actuator made of CNTs was a macro scale sheet of nanotubes termed bucky gel-paper [12-15]. This actuator produced strain due to the change in dimension of the nanotubes in the covalently bonded direction caused by an applied electric potential. Created excess charge is compensated at the nanotubes - electrolyte interface by the electrolyte ions forming a double layer. The charge induces ion movement, which leads to a change in the dimension of the nanotube paper causing the assembly to bend. Soon after the bucky </w:t>
      </w:r>
      <w:r w:rsidRPr="000A75C5">
        <w:rPr>
          <w:lang w:eastAsia="en-US"/>
        </w:rPr>
        <w:lastRenderedPageBreak/>
        <w:t>paper actuator demonstrated actuation of single-walled carbon nanotubes (SWNT), in which the SWNT were suspended over a trench, and the edges fixed at the surface with a metal layer. The charging leads to a rearrangement of the electronic structure of the nanotubes, and to Coulombic forces, both of whic</w:t>
      </w:r>
      <w:r w:rsidR="00C11A2F">
        <w:rPr>
          <w:lang w:eastAsia="en-US"/>
        </w:rPr>
        <w:t>h result in dimensional changes</w:t>
      </w:r>
      <w:r w:rsidR="000B4196">
        <w:rPr>
          <w:lang w:eastAsia="en-US"/>
        </w:rPr>
        <w:t xml:space="preserve"> [14].</w:t>
      </w:r>
    </w:p>
    <w:p w:rsidR="000A75C5" w:rsidRPr="000A75C5" w:rsidRDefault="000A75C5" w:rsidP="000A75C5">
      <w:pPr>
        <w:pStyle w:val="MText"/>
        <w:rPr>
          <w:lang w:eastAsia="en-US"/>
        </w:rPr>
      </w:pPr>
      <w:r w:rsidRPr="000A75C5">
        <w:rPr>
          <w:lang w:eastAsia="en-US"/>
        </w:rPr>
        <w:t xml:space="preserve">Besides CNT-s, several microporous- and graphitic carbons were studied by means of dilatometry by Campana and Hahn </w:t>
      </w:r>
      <w:r w:rsidRPr="000A75C5">
        <w:rPr>
          <w:i/>
          <w:lang w:eastAsia="en-US"/>
        </w:rPr>
        <w:t xml:space="preserve">et al </w:t>
      </w:r>
      <w:r w:rsidRPr="000A75C5">
        <w:rPr>
          <w:lang w:eastAsia="en-US"/>
        </w:rPr>
        <w:t>[18]. The graphitic carbon exhibited highest volume change (10-15%), whereas the expansion was observed at voltages between -2.0 and +2.5 V (</w:t>
      </w:r>
      <m:oMath>
        <m:r>
          <w:rPr>
            <w:rFonts w:ascii="Cambria Math" w:hAnsi="Cambria Math"/>
            <w:lang w:eastAsia="en-US"/>
          </w:rPr>
          <m:t>∆</m:t>
        </m:r>
      </m:oMath>
      <w:r w:rsidRPr="000A75C5">
        <w:rPr>
          <w:lang w:eastAsia="en-US"/>
        </w:rPr>
        <w:t>U=4.5 V). The microporous carbons had the expansion about ~5% at voltages below -1.0</w:t>
      </w:r>
      <w:r w:rsidR="00C11A2F">
        <w:rPr>
          <w:lang w:eastAsia="en-US"/>
        </w:rPr>
        <w:t xml:space="preserve"> </w:t>
      </w:r>
      <w:r w:rsidRPr="000A75C5">
        <w:rPr>
          <w:lang w:eastAsia="en-US"/>
        </w:rPr>
        <w:t>V and above +1.0</w:t>
      </w:r>
      <w:r w:rsidR="00C11A2F">
        <w:rPr>
          <w:lang w:eastAsia="en-US"/>
        </w:rPr>
        <w:t xml:space="preserve"> </w:t>
      </w:r>
      <w:r w:rsidRPr="000A75C5">
        <w:rPr>
          <w:lang w:eastAsia="en-US"/>
        </w:rPr>
        <w:t>V (</w:t>
      </w:r>
      <m:oMath>
        <m:r>
          <w:rPr>
            <w:rFonts w:ascii="Cambria Math" w:hAnsi="Cambria Math"/>
            <w:lang w:eastAsia="en-US"/>
          </w:rPr>
          <m:t>∆</m:t>
        </m:r>
      </m:oMath>
      <w:r w:rsidRPr="000A75C5">
        <w:rPr>
          <w:lang w:eastAsia="en-US"/>
        </w:rPr>
        <w:t xml:space="preserve">U=2.0 V) [18]. The </w:t>
      </w:r>
      <w:r w:rsidRPr="000A75C5">
        <w:rPr>
          <w:i/>
          <w:lang w:eastAsia="en-US"/>
        </w:rPr>
        <w:t>in situ</w:t>
      </w:r>
      <w:r w:rsidRPr="000A75C5">
        <w:rPr>
          <w:lang w:eastAsia="en-US"/>
        </w:rPr>
        <w:t xml:space="preserve"> Raman spectroscopy technique was applied to study ion intercalation behavior into the carbon body [19].</w:t>
      </w:r>
    </w:p>
    <w:p w:rsidR="00853B7B" w:rsidRPr="00853B7B" w:rsidRDefault="000A75C5" w:rsidP="00853B7B">
      <w:pPr>
        <w:pStyle w:val="MText"/>
        <w:rPr>
          <w:lang w:eastAsia="en-US"/>
        </w:rPr>
      </w:pPr>
      <w:r w:rsidRPr="000A75C5">
        <w:rPr>
          <w:lang w:eastAsia="en-US"/>
        </w:rPr>
        <w:t xml:space="preserve">Behind several traditional </w:t>
      </w:r>
      <w:r w:rsidR="00CA2850" w:rsidRPr="000A75C5">
        <w:rPr>
          <w:lang w:eastAsia="en-US"/>
        </w:rPr>
        <w:t>nanostructure</w:t>
      </w:r>
      <w:r w:rsidR="00CA2850">
        <w:rPr>
          <w:lang w:eastAsia="en-US"/>
        </w:rPr>
        <w:t>d</w:t>
      </w:r>
      <w:r w:rsidRPr="000A75C5">
        <w:rPr>
          <w:lang w:eastAsia="en-US"/>
        </w:rPr>
        <w:t xml:space="preserve"> carbons like CNT-s, fullerenes and graphene-, the high surface area</w:t>
      </w:r>
      <w:r w:rsidR="00CA2850">
        <w:rPr>
          <w:lang w:eastAsia="en-US"/>
        </w:rPr>
        <w:t xml:space="preserve"> amorphous</w:t>
      </w:r>
      <w:r w:rsidRPr="000A75C5">
        <w:rPr>
          <w:lang w:eastAsia="en-US"/>
        </w:rPr>
        <w:t xml:space="preserve"> carbon is also an interesting candidate for actuators. The actuation phenomenon of porous carbon was discovered while searching appropriate material for the new alternat</w:t>
      </w:r>
      <w:r w:rsidR="00853B7B">
        <w:rPr>
          <w:lang w:eastAsia="en-US"/>
        </w:rPr>
        <w:t>ive energy storage devices [21].</w:t>
      </w:r>
    </w:p>
    <w:p w:rsidR="00853B7B" w:rsidRPr="00B615DC" w:rsidRDefault="00853B7B" w:rsidP="00853B7B">
      <w:pPr>
        <w:pStyle w:val="MTablecaption"/>
        <w:spacing w:after="240"/>
        <w:ind w:left="567" w:right="573"/>
        <w:jc w:val="both"/>
        <w:rPr>
          <w:bCs/>
        </w:rPr>
      </w:pPr>
      <w:r w:rsidRPr="00B615DC">
        <w:rPr>
          <w:b/>
        </w:rPr>
        <w:t xml:space="preserve">Figure 1. </w:t>
      </w:r>
      <w:r w:rsidRPr="00853B7B">
        <w:rPr>
          <w:bCs/>
        </w:rPr>
        <w:t xml:space="preserve">A structure </w:t>
      </w:r>
      <w:r w:rsidRPr="00853B7B">
        <w:rPr>
          <w:b/>
          <w:bCs/>
        </w:rPr>
        <w:t>(a)</w:t>
      </w:r>
      <w:r w:rsidR="00972415">
        <w:rPr>
          <w:b/>
          <w:bCs/>
        </w:rPr>
        <w:t xml:space="preserve"> </w:t>
      </w:r>
      <w:r w:rsidR="00972415">
        <w:rPr>
          <w:bCs/>
        </w:rPr>
        <w:t>[7]</w:t>
      </w:r>
      <w:r w:rsidRPr="00853B7B">
        <w:rPr>
          <w:bCs/>
        </w:rPr>
        <w:t xml:space="preserve"> and High Resolution Transmission Electron Microscope (HRTEM) picture </w:t>
      </w:r>
      <w:r w:rsidRPr="00853B7B">
        <w:rPr>
          <w:b/>
          <w:bCs/>
        </w:rPr>
        <w:t>(b)</w:t>
      </w:r>
      <w:r w:rsidRPr="00853B7B">
        <w:rPr>
          <w:bCs/>
        </w:rPr>
        <w:t xml:space="preserve"> of amorphous microporous carbon</w:t>
      </w:r>
      <w:r w:rsidRPr="00B615DC">
        <w:rPr>
          <w:bCs/>
        </w:rPr>
        <w:t>.</w:t>
      </w:r>
    </w:p>
    <w:p w:rsidR="00424E31" w:rsidRDefault="00BB1BBC" w:rsidP="00B278AD">
      <w:pPr>
        <w:pStyle w:val="MFigure"/>
        <w:rPr>
          <w:lang w:eastAsia="en-US"/>
        </w:rPr>
      </w:pPr>
      <w:r>
        <w:rPr>
          <w:noProof/>
          <w:lang w:val="et-EE" w:eastAsia="et-EE"/>
        </w:rPr>
        <w:drawing>
          <wp:inline distT="0" distB="0" distL="0" distR="0">
            <wp:extent cx="6305550" cy="2419350"/>
            <wp:effectExtent l="19050" t="0" r="0" b="0"/>
            <wp:docPr id="2" name="Picture 2" descr="Carbon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bonStructure"/>
                    <pic:cNvPicPr>
                      <a:picLocks noChangeAspect="1" noChangeArrowheads="1"/>
                    </pic:cNvPicPr>
                  </pic:nvPicPr>
                  <pic:blipFill>
                    <a:blip r:embed="rId11" cstate="print"/>
                    <a:srcRect/>
                    <a:stretch>
                      <a:fillRect/>
                    </a:stretch>
                  </pic:blipFill>
                  <pic:spPr bwMode="auto">
                    <a:xfrm>
                      <a:off x="0" y="0"/>
                      <a:ext cx="6305550" cy="2419350"/>
                    </a:xfrm>
                    <a:prstGeom prst="rect">
                      <a:avLst/>
                    </a:prstGeom>
                    <a:noFill/>
                    <a:ln w="9525">
                      <a:noFill/>
                      <a:miter lim="800000"/>
                      <a:headEnd/>
                      <a:tailEnd/>
                    </a:ln>
                  </pic:spPr>
                </pic:pic>
              </a:graphicData>
            </a:graphic>
          </wp:inline>
        </w:drawing>
      </w:r>
    </w:p>
    <w:p w:rsidR="00424E31" w:rsidRDefault="00424E31" w:rsidP="00424E31">
      <w:pPr>
        <w:pStyle w:val="MText"/>
        <w:jc w:val="center"/>
        <w:rPr>
          <w:lang w:eastAsia="en-US"/>
        </w:rPr>
      </w:pPr>
    </w:p>
    <w:p w:rsidR="00424E31" w:rsidRPr="00424E31" w:rsidRDefault="00424E31" w:rsidP="00424E31">
      <w:pPr>
        <w:pStyle w:val="MText"/>
        <w:rPr>
          <w:lang w:eastAsia="en-US"/>
        </w:rPr>
      </w:pPr>
      <w:r w:rsidRPr="00424E31">
        <w:rPr>
          <w:lang w:eastAsia="en-US"/>
        </w:rPr>
        <w:t>Microporous amorphous carbons have non-uniform distribution of the curved graphene flakes as shown in Figure 1. Carbon atoms have hybridization of sp</w:t>
      </w:r>
      <w:r w:rsidRPr="00424E31">
        <w:rPr>
          <w:vertAlign w:val="superscript"/>
          <w:lang w:eastAsia="en-US"/>
        </w:rPr>
        <w:t>2</w:t>
      </w:r>
      <w:r w:rsidRPr="00424E31">
        <w:rPr>
          <w:lang w:eastAsia="en-US"/>
        </w:rPr>
        <w:t>, but graphene particles form 3D network. Due to non-uniform structure, it is quite difficult to describe porous carbon, because HRTEM images only show a ve</w:t>
      </w:r>
      <w:r w:rsidR="00972415">
        <w:rPr>
          <w:lang w:eastAsia="en-US"/>
        </w:rPr>
        <w:t>ry small area of samples</w:t>
      </w:r>
      <w:r w:rsidR="000B4196">
        <w:rPr>
          <w:lang w:eastAsia="en-US"/>
        </w:rPr>
        <w:t xml:space="preserve"> [22].</w:t>
      </w:r>
    </w:p>
    <w:p w:rsidR="00424E31" w:rsidRPr="00424E31" w:rsidRDefault="00424E31" w:rsidP="00424E31">
      <w:pPr>
        <w:pStyle w:val="MText"/>
        <w:rPr>
          <w:lang w:eastAsia="en-US"/>
        </w:rPr>
      </w:pPr>
      <w:r w:rsidRPr="00424E31">
        <w:rPr>
          <w:lang w:eastAsia="en-US"/>
        </w:rPr>
        <w:t>So called template carbons which based on metal carbides are of interest in energy storage devices beside of widespread activated carbons commonly produced from thermal decomposition of organic precursor material and successive water vapor activation, because the pore size is tunable due to synthesize parameters and by modifying the template. One of the representatives of template carbons is carbide-derived carbon (CDC), which is obtained by extracting the non-carbon atoms from the carbide lattice. The CDC-s are investigated as promising candidates for electric double layer capacitor (EDLC) electrode materials, for adsorbents of low molecular weight gas (CH</w:t>
      </w:r>
      <w:r w:rsidRPr="00424E31">
        <w:rPr>
          <w:vertAlign w:val="subscript"/>
          <w:lang w:eastAsia="en-US"/>
        </w:rPr>
        <w:t>4</w:t>
      </w:r>
      <w:r w:rsidRPr="00424E31">
        <w:rPr>
          <w:lang w:eastAsia="en-US"/>
        </w:rPr>
        <w:t>, H</w:t>
      </w:r>
      <w:r w:rsidRPr="00424E31">
        <w:rPr>
          <w:vertAlign w:val="subscript"/>
          <w:lang w:eastAsia="en-US"/>
        </w:rPr>
        <w:t>2</w:t>
      </w:r>
      <w:r w:rsidRPr="00424E31">
        <w:rPr>
          <w:lang w:eastAsia="en-US"/>
        </w:rPr>
        <w:t xml:space="preserve"> etc</w:t>
      </w:r>
      <w:r w:rsidR="00350C8F">
        <w:rPr>
          <w:lang w:eastAsia="en-US"/>
        </w:rPr>
        <w:t>.</w:t>
      </w:r>
      <w:r w:rsidRPr="00424E31">
        <w:rPr>
          <w:lang w:eastAsia="en-US"/>
        </w:rPr>
        <w:t>) and for electron emission sources [23, 24]. These materials usually possess high surface area (1000-2000 m</w:t>
      </w:r>
      <w:r w:rsidRPr="00424E31">
        <w:rPr>
          <w:vertAlign w:val="superscript"/>
          <w:lang w:eastAsia="en-US"/>
        </w:rPr>
        <w:t>2</w:t>
      </w:r>
      <w:r w:rsidRPr="00424E31">
        <w:rPr>
          <w:lang w:eastAsia="en-US"/>
        </w:rPr>
        <w:t>·g</w:t>
      </w:r>
      <w:r w:rsidRPr="00424E31">
        <w:rPr>
          <w:vertAlign w:val="superscript"/>
          <w:lang w:eastAsia="en-US"/>
        </w:rPr>
        <w:t>-1</w:t>
      </w:r>
      <w:r w:rsidRPr="00424E31">
        <w:rPr>
          <w:lang w:eastAsia="en-US"/>
        </w:rPr>
        <w:t xml:space="preserve">), </w:t>
      </w:r>
      <w:r w:rsidRPr="00424E31">
        <w:rPr>
          <w:lang w:eastAsia="en-US"/>
        </w:rPr>
        <w:lastRenderedPageBreak/>
        <w:t>controlled micro-pore volume and pore size</w:t>
      </w:r>
      <w:r w:rsidRPr="00424E31" w:rsidDel="00D47C89">
        <w:rPr>
          <w:lang w:eastAsia="en-US"/>
        </w:rPr>
        <w:t xml:space="preserve"> </w:t>
      </w:r>
      <w:r w:rsidR="00350C8F">
        <w:rPr>
          <w:lang w:eastAsia="en-US"/>
        </w:rPr>
        <w:t>distribution</w:t>
      </w:r>
      <w:r w:rsidRPr="00424E31">
        <w:rPr>
          <w:lang w:eastAsia="en-US"/>
        </w:rPr>
        <w:t>. The advanced CDC materials have high electric double layer (EDL) capacitance (130 F·g</w:t>
      </w:r>
      <w:r w:rsidRPr="00424E31">
        <w:rPr>
          <w:vertAlign w:val="superscript"/>
          <w:lang w:eastAsia="en-US"/>
        </w:rPr>
        <w:t>-1</w:t>
      </w:r>
      <w:r w:rsidRPr="00424E31">
        <w:rPr>
          <w:lang w:eastAsia="en-US"/>
        </w:rPr>
        <w:t xml:space="preserve"> and 90 F·cm</w:t>
      </w:r>
      <w:r w:rsidRPr="00424E31">
        <w:rPr>
          <w:vertAlign w:val="superscript"/>
          <w:lang w:eastAsia="en-US"/>
        </w:rPr>
        <w:t>-3</w:t>
      </w:r>
      <w:r w:rsidRPr="00424E31">
        <w:rPr>
          <w:lang w:eastAsia="en-US"/>
        </w:rPr>
        <w:t xml:space="preserve"> in nonaq.), high </w:t>
      </w:r>
      <w:r w:rsidR="00CA2850">
        <w:rPr>
          <w:lang w:eastAsia="en-US"/>
        </w:rPr>
        <w:t xml:space="preserve">electric </w:t>
      </w:r>
      <w:r w:rsidRPr="00424E31">
        <w:rPr>
          <w:lang w:eastAsia="en-US"/>
        </w:rPr>
        <w:t>energy</w:t>
      </w:r>
      <w:r w:rsidR="00CA2850">
        <w:rPr>
          <w:lang w:eastAsia="en-US"/>
        </w:rPr>
        <w:t xml:space="preserve"> conversion</w:t>
      </w:r>
      <w:r w:rsidRPr="00424E31">
        <w:rPr>
          <w:lang w:eastAsia="en-US"/>
        </w:rPr>
        <w:t xml:space="preserve"> efficiency, very good material stability and the chemical inertness. </w:t>
      </w:r>
      <w:r w:rsidR="00CA2850">
        <w:rPr>
          <w:lang w:eastAsia="en-US"/>
        </w:rPr>
        <w:t>S</w:t>
      </w:r>
      <w:r w:rsidR="00CA2850" w:rsidRPr="00424E31">
        <w:rPr>
          <w:lang w:eastAsia="en-US"/>
        </w:rPr>
        <w:t xml:space="preserve">upercapacitors </w:t>
      </w:r>
      <w:r w:rsidR="00B2209A" w:rsidRPr="00424E31">
        <w:rPr>
          <w:lang w:eastAsia="en-US"/>
        </w:rPr>
        <w:t xml:space="preserve">based </w:t>
      </w:r>
      <w:r w:rsidR="00B2209A">
        <w:rPr>
          <w:lang w:eastAsia="en-US"/>
        </w:rPr>
        <w:t xml:space="preserve">on </w:t>
      </w:r>
      <w:r w:rsidRPr="00424E31">
        <w:rPr>
          <w:lang w:eastAsia="en-US"/>
        </w:rPr>
        <w:t>CDC have shown electrode lifetimes up to 10</w:t>
      </w:r>
      <w:r w:rsidRPr="00424E31">
        <w:rPr>
          <w:vertAlign w:val="superscript"/>
          <w:lang w:eastAsia="en-US"/>
        </w:rPr>
        <w:t>6</w:t>
      </w:r>
      <w:r w:rsidRPr="00424E31">
        <w:rPr>
          <w:lang w:eastAsia="en-US"/>
        </w:rPr>
        <w:t xml:space="preserve"> cycles [25]. </w:t>
      </w:r>
    </w:p>
    <w:p w:rsidR="00424E31" w:rsidRPr="00424E31" w:rsidRDefault="00424E31" w:rsidP="00424E31">
      <w:pPr>
        <w:pStyle w:val="MText"/>
        <w:rPr>
          <w:lang w:eastAsia="en-US"/>
        </w:rPr>
      </w:pPr>
      <w:r w:rsidRPr="00424E31">
        <w:rPr>
          <w:lang w:eastAsia="en-US"/>
        </w:rPr>
        <w:t xml:space="preserve">The expansion of the carbonaceous electrodes is generally undesired, and a crucial factor for the lifetime of energy storage devices. Hahn </w:t>
      </w:r>
      <w:r w:rsidRPr="00424E31">
        <w:rPr>
          <w:i/>
          <w:lang w:eastAsia="en-US"/>
        </w:rPr>
        <w:t>et al</w:t>
      </w:r>
      <w:r w:rsidRPr="00424E31">
        <w:rPr>
          <w:lang w:eastAsia="en-US"/>
        </w:rPr>
        <w:t xml:space="preserve">. have performed dilatometric studies on the porous and graphitic carbon electrodes and observed significant reversible volumetric change of the electrodes during the charging-discharging. This confirms the electroactive properties of porous carbon [18- 20]. </w:t>
      </w:r>
    </w:p>
    <w:p w:rsidR="00424E31" w:rsidRPr="00424E31" w:rsidRDefault="00424E31" w:rsidP="00424E31">
      <w:pPr>
        <w:pStyle w:val="MText"/>
        <w:rPr>
          <w:lang w:eastAsia="en-US"/>
        </w:rPr>
      </w:pPr>
      <w:r w:rsidRPr="00424E31">
        <w:rPr>
          <w:lang w:eastAsia="en-US"/>
        </w:rPr>
        <w:t xml:space="preserve">The volume changes of the supercapacitor materials during the charging process were previously observed by Hahn </w:t>
      </w:r>
      <w:r w:rsidRPr="00424E31">
        <w:rPr>
          <w:i/>
          <w:lang w:eastAsia="en-US"/>
        </w:rPr>
        <w:t>et al.</w:t>
      </w:r>
      <w:r w:rsidR="00B2209A">
        <w:rPr>
          <w:lang w:eastAsia="en-US"/>
        </w:rPr>
        <w:t xml:space="preserve"> [17</w:t>
      </w:r>
      <w:r w:rsidRPr="00424E31">
        <w:rPr>
          <w:lang w:eastAsia="en-US"/>
        </w:rPr>
        <w:t>,</w:t>
      </w:r>
      <w:r w:rsidR="00B2209A">
        <w:rPr>
          <w:lang w:eastAsia="en-US"/>
        </w:rPr>
        <w:t xml:space="preserve"> </w:t>
      </w:r>
      <w:r w:rsidRPr="00424E31">
        <w:rPr>
          <w:lang w:eastAsia="en-US"/>
        </w:rPr>
        <w:t>18]. In principle, the design of ionic polymer actuator described in this paper is comparable t</w:t>
      </w:r>
      <w:r w:rsidR="00A92FDD">
        <w:rPr>
          <w:lang w:eastAsia="en-US"/>
        </w:rPr>
        <w:t>o supercapacitors. Thereby, relying</w:t>
      </w:r>
      <w:r w:rsidRPr="00424E31">
        <w:rPr>
          <w:lang w:eastAsia="en-US"/>
        </w:rPr>
        <w:t xml:space="preserve"> on association by similarity</w:t>
      </w:r>
      <w:r w:rsidR="00A92FDD">
        <w:rPr>
          <w:lang w:eastAsia="en-US"/>
        </w:rPr>
        <w:t>,</w:t>
      </w:r>
      <w:r w:rsidRPr="00424E31">
        <w:rPr>
          <w:lang w:eastAsia="en-US"/>
        </w:rPr>
        <w:t xml:space="preserve"> the electroactive mechanism of nanoporous carbon electrodes is related to electric double-layer formation during charging of material, and the dimensional change of the actuator is the consequence of charge injection in carbon nanopores during the electric double-layer charging. It is also reported that particular gas evolution (Faradic process) on the micro-pores could be </w:t>
      </w:r>
      <w:r w:rsidR="00A92FDD">
        <w:rPr>
          <w:lang w:eastAsia="en-US"/>
        </w:rPr>
        <w:t xml:space="preserve">a </w:t>
      </w:r>
      <w:r w:rsidRPr="00424E31">
        <w:rPr>
          <w:lang w:eastAsia="en-US"/>
        </w:rPr>
        <w:t>reason of the carbon actuation process, but using TEABF</w:t>
      </w:r>
      <w:r w:rsidRPr="00424E31">
        <w:rPr>
          <w:vertAlign w:val="subscript"/>
          <w:lang w:eastAsia="en-US"/>
        </w:rPr>
        <w:t>4</w:t>
      </w:r>
      <w:r w:rsidRPr="00424E31">
        <w:rPr>
          <w:lang w:eastAsia="en-US"/>
        </w:rPr>
        <w:t xml:space="preserve"> salt in propylene carbonate solution and ionic liquid EMITf the electrochemical reactions are marginal in the voltage range of 0 to 3.0</w:t>
      </w:r>
      <w:r w:rsidR="00B2209A">
        <w:rPr>
          <w:lang w:eastAsia="en-US"/>
        </w:rPr>
        <w:t xml:space="preserve"> </w:t>
      </w:r>
      <w:r w:rsidRPr="00424E31">
        <w:rPr>
          <w:lang w:eastAsia="en-US"/>
        </w:rPr>
        <w:t xml:space="preserve">V [27-29]. </w:t>
      </w:r>
    </w:p>
    <w:p w:rsidR="00DD4FD6" w:rsidRDefault="00424E31" w:rsidP="00DD4FD6">
      <w:pPr>
        <w:pStyle w:val="MText"/>
        <w:ind w:firstLine="0"/>
        <w:rPr>
          <w:lang w:eastAsia="en-US"/>
        </w:rPr>
      </w:pPr>
      <w:r w:rsidRPr="00424E31">
        <w:rPr>
          <w:lang w:eastAsia="en-US"/>
        </w:rPr>
        <w:t>In this paper</w:t>
      </w:r>
      <w:r w:rsidR="00A92FDD">
        <w:rPr>
          <w:lang w:eastAsia="en-US"/>
        </w:rPr>
        <w:t>,</w:t>
      </w:r>
      <w:r w:rsidRPr="00424E31">
        <w:rPr>
          <w:lang w:eastAsia="en-US"/>
        </w:rPr>
        <w:t xml:space="preserve"> we show for first time the dilatometric effect in actuators containing the CDC materials. Transducers based on a high surface area carbide-derived carbon electrode material are suitable for short range displacement applications, because of proportional actuation response to the charge inserted and high Coulumbic efficiency due to the EDL capacitance. The films/sheets made from the material change their thickness, so it is possible to fabricate a device</w:t>
      </w:r>
      <w:r w:rsidR="00B2209A">
        <w:rPr>
          <w:lang w:eastAsia="en-US"/>
        </w:rPr>
        <w:t xml:space="preserve"> with linear actuation properties.</w:t>
      </w:r>
    </w:p>
    <w:p w:rsidR="00B615DC" w:rsidRPr="00DD4FD6" w:rsidRDefault="00B2209A" w:rsidP="0091360C">
      <w:pPr>
        <w:pStyle w:val="MHeading1"/>
      </w:pPr>
      <w:r w:rsidRPr="00DD4FD6">
        <w:t>2. Preparation of actuators</w:t>
      </w:r>
    </w:p>
    <w:p w:rsidR="00F81046" w:rsidRDefault="00DD4FD6" w:rsidP="00B615DC">
      <w:pPr>
        <w:pStyle w:val="MHeading2"/>
      </w:pPr>
      <w:r>
        <w:t>2</w:t>
      </w:r>
      <w:r w:rsidR="00F81046">
        <w:t>.1. Synthesis of carbide-derived carbon</w:t>
      </w:r>
    </w:p>
    <w:p w:rsidR="00DD4FD6" w:rsidRDefault="00DD4FD6" w:rsidP="0091360C">
      <w:pPr>
        <w:pStyle w:val="MText"/>
      </w:pPr>
      <w:r>
        <w:t>Titanium carbide loaded into the horizontal quartz reactor was reacted with a flow of chlorine gas (99.999% assay) at reaction temperatures 600</w:t>
      </w:r>
      <w:r w:rsidR="003902E8">
        <w:t xml:space="preserve"> </w:t>
      </w:r>
      <w:r>
        <w:sym w:font="Symbol" w:char="F0B0"/>
      </w:r>
      <w:r>
        <w:t>C or 800</w:t>
      </w:r>
      <w:r w:rsidR="003902E8">
        <w:t xml:space="preserve"> </w:t>
      </w:r>
      <w:r>
        <w:sym w:font="Symbol" w:char="F0B0"/>
      </w:r>
      <w:r>
        <w:t xml:space="preserve">C until all carbide was converted into carbon. A flow rate of chlorine gas was set so that the optimum mass transfer of gaseous reactants and products occurred, which depended on reaction volume, and the reaction temperature. The mass balance of titanium carbide chlorination </w:t>
      </w:r>
      <w:r w:rsidR="003902E8">
        <w:t>reaction is expressed by the Equation 1</w:t>
      </w:r>
      <w:r>
        <w:t xml:space="preserve"> describing the corresponding chemical reaction.</w:t>
      </w:r>
    </w:p>
    <w:p w:rsidR="00C72727" w:rsidRDefault="00B278AD" w:rsidP="00F42523">
      <w:pPr>
        <w:pStyle w:val="MText"/>
        <w:jc w:val="right"/>
      </w:pPr>
      <m:oMath>
        <m:r>
          <w:rPr>
            <w:rFonts w:ascii="Cambria Math" w:hAnsi="Cambria Math"/>
          </w:rPr>
          <m:t>TiC+</m:t>
        </m:r>
        <m:sSub>
          <m:sSubPr>
            <m:ctrlPr>
              <w:rPr>
                <w:rFonts w:ascii="Cambria Math" w:hAnsi="Cambria Math"/>
                <w:i/>
              </w:rPr>
            </m:ctrlPr>
          </m:sSubPr>
          <m:e>
            <m:r>
              <w:rPr>
                <w:rFonts w:ascii="Cambria Math" w:hAnsi="Cambria Math"/>
              </w:rPr>
              <m:t>2Cl</m:t>
            </m:r>
          </m:e>
          <m:sub>
            <m:r>
              <w:rPr>
                <w:rFonts w:ascii="Cambria Math" w:hAnsi="Cambria Math"/>
              </w:rPr>
              <m:t>2</m:t>
            </m:r>
          </m:sub>
        </m:sSub>
        <m:r>
          <w:rPr>
            <w:rFonts w:ascii="Cambria Math" w:hAnsi="Cambria Math"/>
          </w:rPr>
          <m:t>→C+</m:t>
        </m:r>
        <m:sSub>
          <m:sSubPr>
            <m:ctrlPr>
              <w:rPr>
                <w:rFonts w:ascii="Cambria Math" w:hAnsi="Cambria Math"/>
                <w:i/>
              </w:rPr>
            </m:ctrlPr>
          </m:sSubPr>
          <m:e>
            <m:r>
              <w:rPr>
                <w:rFonts w:ascii="Cambria Math" w:hAnsi="Cambria Math"/>
              </w:rPr>
              <m:t>TiCl</m:t>
            </m:r>
          </m:e>
          <m:sub>
            <m:r>
              <w:rPr>
                <w:rFonts w:ascii="Cambria Math" w:hAnsi="Cambria Math"/>
              </w:rPr>
              <m:t>4</m:t>
            </m:r>
          </m:sub>
        </m:sSub>
        <m:r>
          <w:rPr>
            <w:rFonts w:ascii="Cambria Math" w:hAnsi="Cambria Math"/>
          </w:rPr>
          <m:t>↑</m:t>
        </m:r>
      </m:oMath>
      <w:r w:rsidR="00F42523">
        <w:tab/>
      </w:r>
      <w:r w:rsidR="00F42523">
        <w:tab/>
      </w:r>
      <w:r w:rsidR="00350C8F">
        <w:tab/>
      </w:r>
      <w:r w:rsidR="00F42523">
        <w:tab/>
      </w:r>
      <w:r w:rsidR="00F42523">
        <w:tab/>
        <w:t>(1)</w:t>
      </w:r>
    </w:p>
    <w:p w:rsidR="00B615DC" w:rsidRDefault="00DD4FD6" w:rsidP="0091360C">
      <w:pPr>
        <w:pStyle w:val="MText"/>
      </w:pPr>
      <w:r w:rsidRPr="0091360C">
        <w:t>The by-product, TiCl</w:t>
      </w:r>
      <w:r w:rsidRPr="003902E8">
        <w:rPr>
          <w:vertAlign w:val="subscript"/>
        </w:rPr>
        <w:t>4</w:t>
      </w:r>
      <w:r w:rsidRPr="0091360C">
        <w:t>, was evacuated from reactor by the stream of the excess chlorine. During the heat-up and cooling phase, the reactor was flushed with a slow stream of argon. Resulting carbon powders were finally purified in the flow of hydrogen at 800</w:t>
      </w:r>
      <w:r w:rsidR="003902E8">
        <w:t xml:space="preserve"> </w:t>
      </w:r>
      <w:r w:rsidRPr="0091360C">
        <w:sym w:font="Symbol" w:char="F0B0"/>
      </w:r>
      <w:r w:rsidRPr="0091360C">
        <w:t>C. The sample chlorinated at 800</w:t>
      </w:r>
      <w:r w:rsidR="003902E8">
        <w:t xml:space="preserve"> </w:t>
      </w:r>
      <w:r w:rsidRPr="0091360C">
        <w:sym w:font="Symbol" w:char="F0B0"/>
      </w:r>
      <w:r w:rsidRPr="0091360C">
        <w:t>C was additionally oxidized according to the method of the high-temperature tre</w:t>
      </w:r>
      <w:r w:rsidR="00127C6C">
        <w:t>atment of the carbon previously</w:t>
      </w:r>
      <w:r w:rsidRPr="0091360C">
        <w:t xml:space="preserve"> saturated with the </w:t>
      </w:r>
      <w:r w:rsidR="0091360C">
        <w:t>trapped water in nanopores [30]</w:t>
      </w:r>
      <w:r w:rsidR="00B615DC" w:rsidRPr="0091360C">
        <w:t>.</w:t>
      </w:r>
    </w:p>
    <w:p w:rsidR="005B0AB4" w:rsidRDefault="005B0AB4" w:rsidP="005B0AB4">
      <w:pPr>
        <w:pStyle w:val="MHeading2"/>
      </w:pPr>
      <w:r>
        <w:t>2.2. Preparation of</w:t>
      </w:r>
      <w:r w:rsidRPr="005B0AB4">
        <w:t xml:space="preserve"> the electrodes</w:t>
      </w:r>
    </w:p>
    <w:p w:rsidR="00C72727" w:rsidRDefault="00C72727" w:rsidP="00C72727">
      <w:pPr>
        <w:pStyle w:val="MText"/>
      </w:pPr>
      <w:r w:rsidRPr="00C72727">
        <w:lastRenderedPageBreak/>
        <w:t>CDC powder (1</w:t>
      </w:r>
      <w:r w:rsidR="005B0AB4">
        <w:t xml:space="preserve"> </w:t>
      </w:r>
      <w:r w:rsidRPr="00C72727">
        <w:t>g) was mixed with a small amount of ethanol and 10% (by wt.) of PTFE (as a 60% suspension in water) to form slurry, which thereafter was gently pressed until a wet material was formed. After evaporation of ethanol, the material was impregnated with heptane, shaped to a cylinder and rolled in the axial direction of the cylinder. The latter procedure was repeated until elastic properties appeared to the carbon sheet. Finally, the heptane was removed at ~110</w:t>
      </w:r>
      <w:r w:rsidR="005B0AB4">
        <w:t xml:space="preserve"> </w:t>
      </w:r>
      <w:r w:rsidRPr="00C72727">
        <w:t>ºC, the carbon sheet was rolled stepwise down to the desired thickness, dried in vacuum at 170</w:t>
      </w:r>
      <w:r w:rsidR="005B0AB4">
        <w:t xml:space="preserve"> </w:t>
      </w:r>
      <w:r w:rsidRPr="00C72727">
        <w:t>ºC and coated from one side with a thin (~2</w:t>
      </w:r>
      <w:r w:rsidR="005B0AB4">
        <w:t xml:space="preserve"> </w:t>
      </w:r>
      <w:r w:rsidRPr="00C72727">
        <w:sym w:font="Symbol" w:char="F06D"/>
      </w:r>
      <w:r w:rsidRPr="00C72727">
        <w:t>m) aluminum layer, using Plasma Activated Physical Vapor Deposition</w:t>
      </w:r>
      <w:r w:rsidRPr="00C72727">
        <w:rPr>
          <w:i/>
        </w:rPr>
        <w:t xml:space="preserve">. </w:t>
      </w:r>
      <w:r w:rsidRPr="00C72727">
        <w:t>The electrode discs of desired size were cut from these sheets.</w:t>
      </w:r>
    </w:p>
    <w:p w:rsidR="005B0AB4" w:rsidRDefault="005B0AB4" w:rsidP="005B0AB4">
      <w:pPr>
        <w:pStyle w:val="MHeading2"/>
      </w:pPr>
      <w:r>
        <w:t>2.3. Assembling of the actuators</w:t>
      </w:r>
    </w:p>
    <w:p w:rsidR="005B0AB4" w:rsidRPr="00C72727" w:rsidRDefault="005B0AB4" w:rsidP="005B0AB4">
      <w:pPr>
        <w:pStyle w:val="MText"/>
      </w:pPr>
      <w:r w:rsidRPr="005B0AB4">
        <w:t>Linear actuators 1 – 4 (</w:t>
      </w:r>
      <w:r w:rsidR="00C11A2F">
        <w:t>see Table 1</w:t>
      </w:r>
      <w:r w:rsidRPr="005B0AB4">
        <w:t>) were assembled from the pairs of carbon electrode discs (</w:t>
      </w:r>
      <w:r w:rsidRPr="005B0AB4">
        <w:sym w:font="Symbol" w:char="F0C6"/>
      </w:r>
      <w:r w:rsidRPr="005B0AB4">
        <w:t xml:space="preserve"> 1.7</w:t>
      </w:r>
      <w:r>
        <w:t xml:space="preserve"> </w:t>
      </w:r>
      <w:r w:rsidRPr="005B0AB4">
        <w:t>cm), separated with an ion-permeable separator paper from Kodoshi Nippon (cf. Fig. 2). Each actuator consisted of five electrode pairs with a total geometric surface area of 11.35 cm</w:t>
      </w:r>
      <w:r w:rsidRPr="005B0AB4">
        <w:rPr>
          <w:vertAlign w:val="superscript"/>
        </w:rPr>
        <w:t>2</w:t>
      </w:r>
      <w:r w:rsidRPr="005B0AB4">
        <w:t>. The electrode assembly was placed in a sealed aluminum container. Additional mechanical pressure (p=48 N cm</w:t>
      </w:r>
      <w:r w:rsidRPr="005B0AB4">
        <w:rPr>
          <w:vertAlign w:val="superscript"/>
        </w:rPr>
        <w:t>-2</w:t>
      </w:r>
      <w:r w:rsidRPr="005B0AB4">
        <w:t>) was applied by a spring through a special connecting rod. This rod was further used for measuring the linear movement of actuator by a laser beam.</w:t>
      </w:r>
    </w:p>
    <w:p w:rsidR="005B0AB4" w:rsidRPr="005B0AB4" w:rsidRDefault="005B0AB4" w:rsidP="005B0AB4">
      <w:pPr>
        <w:pStyle w:val="MTablecaption"/>
      </w:pPr>
      <w:r w:rsidRPr="00C11A2F">
        <w:rPr>
          <w:b/>
        </w:rPr>
        <w:t>Fig. 2.</w:t>
      </w:r>
      <w:r w:rsidRPr="005B0AB4">
        <w:t xml:space="preserve"> The principal scheme of linear actuators.</w:t>
      </w:r>
    </w:p>
    <w:p w:rsidR="00C72727" w:rsidRDefault="00C11A2F" w:rsidP="00C11A2F">
      <w:pPr>
        <w:pStyle w:val="MFigure"/>
      </w:pPr>
      <w:r>
        <w:rPr>
          <w:noProof/>
          <w:lang w:val="et-EE" w:eastAsia="et-EE"/>
        </w:rPr>
        <w:drawing>
          <wp:inline distT="0" distB="0" distL="0" distR="0">
            <wp:extent cx="3343275" cy="1533525"/>
            <wp:effectExtent l="19050" t="0" r="9525" b="0"/>
            <wp:docPr id="3" name="Picture 5" descr="Fig2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2_03"/>
                    <pic:cNvPicPr>
                      <a:picLocks noChangeAspect="1" noChangeArrowheads="1"/>
                    </pic:cNvPicPr>
                  </pic:nvPicPr>
                  <pic:blipFill>
                    <a:blip r:embed="rId12" cstate="print"/>
                    <a:srcRect/>
                    <a:stretch>
                      <a:fillRect/>
                    </a:stretch>
                  </pic:blipFill>
                  <pic:spPr bwMode="auto">
                    <a:xfrm>
                      <a:off x="0" y="0"/>
                      <a:ext cx="3343275" cy="1533525"/>
                    </a:xfrm>
                    <a:prstGeom prst="rect">
                      <a:avLst/>
                    </a:prstGeom>
                    <a:noFill/>
                    <a:ln w="9525">
                      <a:noFill/>
                      <a:miter lim="800000"/>
                      <a:headEnd/>
                      <a:tailEnd/>
                    </a:ln>
                  </pic:spPr>
                </pic:pic>
              </a:graphicData>
            </a:graphic>
          </wp:inline>
        </w:drawing>
      </w:r>
    </w:p>
    <w:p w:rsidR="005B0AB4" w:rsidRDefault="00C11A2F" w:rsidP="00C11A2F">
      <w:pPr>
        <w:pStyle w:val="MText"/>
      </w:pPr>
      <w:r w:rsidRPr="00C11A2F">
        <w:t>The actuator cells were vacuumed at 120° C for 24 h before being impregnated with the electrolyte. The electrolytes used in this study were 1.0 M tetraethylammonium tetrafluoroborate in propylene carbonate (“Honeywell Digirena ®” TEABF</w:t>
      </w:r>
      <w:r w:rsidRPr="00C11A2F">
        <w:rPr>
          <w:vertAlign w:val="subscript"/>
        </w:rPr>
        <w:t>4</w:t>
      </w:r>
      <w:r w:rsidRPr="00C11A2F">
        <w:t>/PC, H</w:t>
      </w:r>
      <w:r w:rsidRPr="00C11A2F">
        <w:rPr>
          <w:vertAlign w:val="subscript"/>
        </w:rPr>
        <w:t>2</w:t>
      </w:r>
      <w:r w:rsidRPr="00C11A2F">
        <w:t>O &lt; 0.003 %) and the ionic liquid 1-ethyl-3</w:t>
      </w:r>
      <w:r>
        <w:t>-methyl</w:t>
      </w:r>
      <w:r w:rsidRPr="00C11A2F">
        <w:t>imidazolium trifluoromethane-sulfonate (EMITf, Fluka).</w:t>
      </w:r>
    </w:p>
    <w:p w:rsidR="00C11A2F" w:rsidRPr="00D04511" w:rsidRDefault="00D04511" w:rsidP="00D04511">
      <w:pPr>
        <w:pStyle w:val="MTablecaption"/>
      </w:pPr>
      <w:r>
        <w:rPr>
          <w:b/>
        </w:rPr>
        <w:t>Table 1</w:t>
      </w:r>
      <w:r w:rsidRPr="00D04511">
        <w:rPr>
          <w:b/>
        </w:rPr>
        <w:t>.</w:t>
      </w:r>
      <w:r>
        <w:t xml:space="preserve"> The actuators in this study</w:t>
      </w:r>
    </w:p>
    <w:tbl>
      <w:tblPr>
        <w:tblW w:w="0" w:type="auto"/>
        <w:jc w:val="center"/>
        <w:tblLayout w:type="fixed"/>
        <w:tblLook w:val="01E0"/>
      </w:tblPr>
      <w:tblGrid>
        <w:gridCol w:w="1156"/>
        <w:gridCol w:w="1400"/>
        <w:gridCol w:w="1674"/>
        <w:gridCol w:w="2340"/>
      </w:tblGrid>
      <w:tr w:rsidR="00D04511" w:rsidRPr="00D04511" w:rsidTr="00D04511">
        <w:trPr>
          <w:jc w:val="center"/>
        </w:trPr>
        <w:tc>
          <w:tcPr>
            <w:tcW w:w="1156" w:type="dxa"/>
            <w:tcBorders>
              <w:top w:val="single" w:sz="4" w:space="0" w:color="000000"/>
              <w:bottom w:val="single" w:sz="4" w:space="0" w:color="000000"/>
            </w:tcBorders>
          </w:tcPr>
          <w:p w:rsidR="00D04511" w:rsidRPr="00D04511" w:rsidRDefault="00D04511" w:rsidP="00D04511">
            <w:pPr>
              <w:pStyle w:val="MText"/>
              <w:ind w:firstLine="0"/>
              <w:jc w:val="left"/>
            </w:pPr>
            <w:r w:rsidRPr="00D04511">
              <w:t>Actuator</w:t>
            </w:r>
          </w:p>
          <w:p w:rsidR="00D04511" w:rsidRPr="00D04511" w:rsidRDefault="00D04511" w:rsidP="00D04511">
            <w:pPr>
              <w:pStyle w:val="MText"/>
              <w:jc w:val="left"/>
            </w:pPr>
            <w:r w:rsidRPr="00D04511">
              <w:t>#</w:t>
            </w:r>
          </w:p>
        </w:tc>
        <w:tc>
          <w:tcPr>
            <w:tcW w:w="1400" w:type="dxa"/>
            <w:tcBorders>
              <w:top w:val="single" w:sz="4" w:space="0" w:color="000000"/>
              <w:bottom w:val="single" w:sz="4" w:space="0" w:color="000000"/>
            </w:tcBorders>
          </w:tcPr>
          <w:p w:rsidR="00D04511" w:rsidRPr="00D04511" w:rsidRDefault="00D04511" w:rsidP="00D04511">
            <w:pPr>
              <w:pStyle w:val="MText"/>
              <w:ind w:firstLine="0"/>
              <w:jc w:val="left"/>
            </w:pPr>
            <w:r w:rsidRPr="00D04511">
              <w:t>Notation of actuator</w:t>
            </w:r>
          </w:p>
        </w:tc>
        <w:tc>
          <w:tcPr>
            <w:tcW w:w="1674" w:type="dxa"/>
            <w:tcBorders>
              <w:top w:val="single" w:sz="4" w:space="0" w:color="000000"/>
              <w:bottom w:val="single" w:sz="4" w:space="0" w:color="000000"/>
            </w:tcBorders>
          </w:tcPr>
          <w:p w:rsidR="00D04511" w:rsidRPr="00D04511" w:rsidRDefault="00D04511" w:rsidP="00D04511">
            <w:pPr>
              <w:pStyle w:val="MText"/>
              <w:ind w:firstLine="0"/>
              <w:jc w:val="left"/>
            </w:pPr>
            <w:r w:rsidRPr="00D04511">
              <w:t>Notation of CDC material</w:t>
            </w:r>
          </w:p>
        </w:tc>
        <w:tc>
          <w:tcPr>
            <w:tcW w:w="2340" w:type="dxa"/>
            <w:tcBorders>
              <w:top w:val="single" w:sz="4" w:space="0" w:color="000000"/>
              <w:bottom w:val="single" w:sz="4" w:space="0" w:color="000000"/>
            </w:tcBorders>
          </w:tcPr>
          <w:p w:rsidR="00D04511" w:rsidRPr="00D04511" w:rsidRDefault="00D04511" w:rsidP="00D04511">
            <w:pPr>
              <w:pStyle w:val="MText"/>
              <w:jc w:val="left"/>
            </w:pPr>
            <w:r w:rsidRPr="00D04511">
              <w:t>Electrolyte</w:t>
            </w:r>
          </w:p>
        </w:tc>
      </w:tr>
      <w:tr w:rsidR="00D04511" w:rsidRPr="00D04511" w:rsidTr="00D04511">
        <w:trPr>
          <w:jc w:val="center"/>
        </w:trPr>
        <w:tc>
          <w:tcPr>
            <w:tcW w:w="1156" w:type="dxa"/>
          </w:tcPr>
          <w:p w:rsidR="00D04511" w:rsidRPr="00D04511" w:rsidRDefault="00D04511" w:rsidP="00D04511">
            <w:pPr>
              <w:pStyle w:val="MText"/>
              <w:rPr>
                <w:b/>
              </w:rPr>
            </w:pPr>
            <w:r w:rsidRPr="00D04511">
              <w:rPr>
                <w:b/>
              </w:rPr>
              <w:t>1</w:t>
            </w:r>
          </w:p>
        </w:tc>
        <w:tc>
          <w:tcPr>
            <w:tcW w:w="1400" w:type="dxa"/>
          </w:tcPr>
          <w:p w:rsidR="00D04511" w:rsidRPr="00D04511" w:rsidRDefault="00D04511" w:rsidP="00D04511">
            <w:pPr>
              <w:pStyle w:val="MText"/>
            </w:pPr>
            <w:r w:rsidRPr="00D04511">
              <w:t>TEA600</w:t>
            </w:r>
          </w:p>
        </w:tc>
        <w:tc>
          <w:tcPr>
            <w:tcW w:w="1674" w:type="dxa"/>
          </w:tcPr>
          <w:p w:rsidR="00D04511" w:rsidRPr="00D04511" w:rsidRDefault="00D04511" w:rsidP="00D04511">
            <w:pPr>
              <w:pStyle w:val="MText"/>
            </w:pPr>
            <w:r w:rsidRPr="00D04511">
              <w:t>TiC-600</w:t>
            </w:r>
          </w:p>
        </w:tc>
        <w:tc>
          <w:tcPr>
            <w:tcW w:w="2340" w:type="dxa"/>
          </w:tcPr>
          <w:p w:rsidR="00D04511" w:rsidRPr="00D04511" w:rsidRDefault="00D04511" w:rsidP="00D04511">
            <w:pPr>
              <w:pStyle w:val="MText"/>
            </w:pPr>
            <w:r w:rsidRPr="00D04511">
              <w:t>1.0 M TEABF</w:t>
            </w:r>
            <w:r w:rsidRPr="00D04511">
              <w:rPr>
                <w:vertAlign w:val="subscript"/>
              </w:rPr>
              <w:t>4</w:t>
            </w:r>
            <w:r w:rsidRPr="00D04511">
              <w:t>/PC</w:t>
            </w:r>
          </w:p>
        </w:tc>
      </w:tr>
      <w:tr w:rsidR="00D04511" w:rsidRPr="00D04511" w:rsidTr="00D04511">
        <w:trPr>
          <w:jc w:val="center"/>
        </w:trPr>
        <w:tc>
          <w:tcPr>
            <w:tcW w:w="1156" w:type="dxa"/>
          </w:tcPr>
          <w:p w:rsidR="00D04511" w:rsidRPr="00D04511" w:rsidRDefault="00D04511" w:rsidP="00D04511">
            <w:pPr>
              <w:pStyle w:val="MText"/>
              <w:rPr>
                <w:b/>
              </w:rPr>
            </w:pPr>
            <w:r w:rsidRPr="00D04511">
              <w:rPr>
                <w:b/>
              </w:rPr>
              <w:t>2</w:t>
            </w:r>
          </w:p>
        </w:tc>
        <w:tc>
          <w:tcPr>
            <w:tcW w:w="1400" w:type="dxa"/>
          </w:tcPr>
          <w:p w:rsidR="00D04511" w:rsidRPr="00D04511" w:rsidRDefault="00D04511" w:rsidP="00D04511">
            <w:pPr>
              <w:pStyle w:val="MText"/>
            </w:pPr>
            <w:r w:rsidRPr="00D04511">
              <w:t>TEA800</w:t>
            </w:r>
          </w:p>
        </w:tc>
        <w:tc>
          <w:tcPr>
            <w:tcW w:w="1674" w:type="dxa"/>
          </w:tcPr>
          <w:p w:rsidR="00D04511" w:rsidRPr="00D04511" w:rsidRDefault="00D04511" w:rsidP="00D04511">
            <w:pPr>
              <w:pStyle w:val="MText"/>
            </w:pPr>
            <w:r w:rsidRPr="00D04511">
              <w:t>TiC-800</w:t>
            </w:r>
          </w:p>
        </w:tc>
        <w:tc>
          <w:tcPr>
            <w:tcW w:w="2340" w:type="dxa"/>
          </w:tcPr>
          <w:p w:rsidR="00D04511" w:rsidRPr="00D04511" w:rsidRDefault="00D04511" w:rsidP="00D04511">
            <w:pPr>
              <w:pStyle w:val="MText"/>
            </w:pPr>
            <w:r w:rsidRPr="00D04511">
              <w:t>1.0 M TEABF</w:t>
            </w:r>
            <w:r w:rsidRPr="00D04511">
              <w:rPr>
                <w:vertAlign w:val="subscript"/>
              </w:rPr>
              <w:t>4</w:t>
            </w:r>
            <w:r w:rsidRPr="00D04511">
              <w:t>/PC</w:t>
            </w:r>
          </w:p>
        </w:tc>
      </w:tr>
      <w:tr w:rsidR="00D04511" w:rsidRPr="00D04511" w:rsidTr="00D04511">
        <w:trPr>
          <w:jc w:val="center"/>
        </w:trPr>
        <w:tc>
          <w:tcPr>
            <w:tcW w:w="1156" w:type="dxa"/>
          </w:tcPr>
          <w:p w:rsidR="00D04511" w:rsidRPr="00D04511" w:rsidRDefault="00D04511" w:rsidP="00D04511">
            <w:pPr>
              <w:pStyle w:val="MText"/>
              <w:rPr>
                <w:b/>
              </w:rPr>
            </w:pPr>
            <w:r w:rsidRPr="00D04511">
              <w:rPr>
                <w:b/>
              </w:rPr>
              <w:t>3</w:t>
            </w:r>
          </w:p>
        </w:tc>
        <w:tc>
          <w:tcPr>
            <w:tcW w:w="1400" w:type="dxa"/>
          </w:tcPr>
          <w:p w:rsidR="00D04511" w:rsidRPr="00D04511" w:rsidRDefault="00D04511" w:rsidP="00D04511">
            <w:pPr>
              <w:pStyle w:val="MText"/>
            </w:pPr>
            <w:r w:rsidRPr="00D04511">
              <w:t>EMI600</w:t>
            </w:r>
          </w:p>
        </w:tc>
        <w:tc>
          <w:tcPr>
            <w:tcW w:w="1674" w:type="dxa"/>
          </w:tcPr>
          <w:p w:rsidR="00D04511" w:rsidRPr="00D04511" w:rsidRDefault="00D04511" w:rsidP="00D04511">
            <w:pPr>
              <w:pStyle w:val="MText"/>
            </w:pPr>
            <w:r w:rsidRPr="00D04511">
              <w:t>TiC-600</w:t>
            </w:r>
          </w:p>
        </w:tc>
        <w:tc>
          <w:tcPr>
            <w:tcW w:w="2340" w:type="dxa"/>
          </w:tcPr>
          <w:p w:rsidR="00D04511" w:rsidRPr="00D04511" w:rsidRDefault="00D04511" w:rsidP="00D04511">
            <w:pPr>
              <w:pStyle w:val="MText"/>
            </w:pPr>
            <w:r w:rsidRPr="00D04511">
              <w:t>EMITf</w:t>
            </w:r>
          </w:p>
        </w:tc>
      </w:tr>
      <w:tr w:rsidR="00D04511" w:rsidRPr="00D04511" w:rsidTr="00D04511">
        <w:trPr>
          <w:jc w:val="center"/>
        </w:trPr>
        <w:tc>
          <w:tcPr>
            <w:tcW w:w="1156" w:type="dxa"/>
            <w:tcBorders>
              <w:bottom w:val="single" w:sz="4" w:space="0" w:color="000000"/>
            </w:tcBorders>
          </w:tcPr>
          <w:p w:rsidR="00D04511" w:rsidRPr="00D04511" w:rsidRDefault="00D04511" w:rsidP="00D04511">
            <w:pPr>
              <w:pStyle w:val="MText"/>
              <w:rPr>
                <w:b/>
              </w:rPr>
            </w:pPr>
            <w:r w:rsidRPr="00D04511">
              <w:rPr>
                <w:b/>
              </w:rPr>
              <w:t>4</w:t>
            </w:r>
          </w:p>
        </w:tc>
        <w:tc>
          <w:tcPr>
            <w:tcW w:w="1400" w:type="dxa"/>
            <w:tcBorders>
              <w:bottom w:val="single" w:sz="4" w:space="0" w:color="000000"/>
            </w:tcBorders>
          </w:tcPr>
          <w:p w:rsidR="00D04511" w:rsidRPr="00D04511" w:rsidRDefault="00D04511" w:rsidP="00D04511">
            <w:pPr>
              <w:pStyle w:val="MText"/>
            </w:pPr>
            <w:r w:rsidRPr="00D04511">
              <w:t>EMI800</w:t>
            </w:r>
          </w:p>
        </w:tc>
        <w:tc>
          <w:tcPr>
            <w:tcW w:w="1674" w:type="dxa"/>
            <w:tcBorders>
              <w:bottom w:val="single" w:sz="4" w:space="0" w:color="000000"/>
            </w:tcBorders>
          </w:tcPr>
          <w:p w:rsidR="00D04511" w:rsidRPr="00D04511" w:rsidRDefault="00D04511" w:rsidP="00D04511">
            <w:pPr>
              <w:pStyle w:val="MText"/>
            </w:pPr>
            <w:r w:rsidRPr="00D04511">
              <w:t>TiC-800</w:t>
            </w:r>
          </w:p>
        </w:tc>
        <w:tc>
          <w:tcPr>
            <w:tcW w:w="2340" w:type="dxa"/>
            <w:tcBorders>
              <w:bottom w:val="single" w:sz="4" w:space="0" w:color="000000"/>
            </w:tcBorders>
          </w:tcPr>
          <w:p w:rsidR="00D04511" w:rsidRPr="00D04511" w:rsidRDefault="00D04511" w:rsidP="00D04511">
            <w:pPr>
              <w:pStyle w:val="MText"/>
            </w:pPr>
            <w:r w:rsidRPr="00D04511">
              <w:t>EMITf</w:t>
            </w:r>
          </w:p>
        </w:tc>
      </w:tr>
    </w:tbl>
    <w:p w:rsidR="005B0AB4" w:rsidRPr="0091360C" w:rsidRDefault="005B0AB4" w:rsidP="00A30BEC">
      <w:pPr>
        <w:pStyle w:val="MText"/>
        <w:ind w:firstLine="0"/>
      </w:pPr>
    </w:p>
    <w:p w:rsidR="00A30BEC" w:rsidRDefault="00A30BEC" w:rsidP="00B615DC">
      <w:pPr>
        <w:pStyle w:val="MText"/>
        <w:rPr>
          <w:lang w:eastAsia="en-US"/>
        </w:rPr>
      </w:pPr>
      <w:r w:rsidRPr="00A30BEC">
        <w:rPr>
          <w:lang w:eastAsia="en-US"/>
        </w:rPr>
        <w:t>Before evaluation, the actuator cells</w:t>
      </w:r>
      <w:r w:rsidR="007A5494">
        <w:rPr>
          <w:lang w:eastAsia="en-US"/>
        </w:rPr>
        <w:t xml:space="preserve"> were kept at 60 °C for 48 h</w:t>
      </w:r>
      <w:r w:rsidRPr="00A30BEC">
        <w:rPr>
          <w:lang w:eastAsia="en-US"/>
        </w:rPr>
        <w:t xml:space="preserve">, to saturate the compact nanoporous electrode body with the electrolyte. Thereafter, continuous galvanostatic cycling between 2.7 V and 0.05 V with the current </w:t>
      </w:r>
      <w:r w:rsidRPr="00A30BEC">
        <w:rPr>
          <w:i/>
          <w:lang w:eastAsia="en-US"/>
        </w:rPr>
        <w:t>I</w:t>
      </w:r>
      <w:r w:rsidRPr="00A30BEC">
        <w:rPr>
          <w:lang w:eastAsia="en-US"/>
        </w:rPr>
        <w:t xml:space="preserve"> = 100 mA was carried out, prior to performing the further studies. </w:t>
      </w:r>
      <w:r w:rsidRPr="00A30BEC">
        <w:rPr>
          <w:lang w:eastAsia="en-US"/>
        </w:rPr>
        <w:lastRenderedPageBreak/>
        <w:t>The purpose of preliminary galvanostatic cycling is to distri</w:t>
      </w:r>
      <w:r w:rsidR="007A5494">
        <w:rPr>
          <w:lang w:eastAsia="en-US"/>
        </w:rPr>
        <w:t>bute the electrolyte ions and</w:t>
      </w:r>
      <w:r w:rsidRPr="00A30BEC">
        <w:rPr>
          <w:lang w:eastAsia="en-US"/>
        </w:rPr>
        <w:t xml:space="preserve"> decompose the traces of H</w:t>
      </w:r>
      <w:r w:rsidRPr="00A30BEC">
        <w:rPr>
          <w:vertAlign w:val="subscript"/>
          <w:lang w:eastAsia="en-US"/>
        </w:rPr>
        <w:t>2</w:t>
      </w:r>
      <w:r w:rsidRPr="00A30BEC">
        <w:rPr>
          <w:lang w:eastAsia="en-US"/>
        </w:rPr>
        <w:t>O as well as to inactivate other possible impurities. Usually 5 cycles were needed to establish a stable actuation of the electrochemical system.</w:t>
      </w:r>
    </w:p>
    <w:p w:rsidR="00A30BEC" w:rsidRDefault="00A30BEC" w:rsidP="00A30BEC">
      <w:pPr>
        <w:pStyle w:val="MHeading2"/>
        <w:rPr>
          <w:lang w:eastAsia="en-US"/>
        </w:rPr>
      </w:pPr>
      <w:r>
        <w:rPr>
          <w:lang w:eastAsia="en-US"/>
        </w:rPr>
        <w:t>2.4. Evaluation of carbon materials</w:t>
      </w:r>
    </w:p>
    <w:p w:rsidR="00A30BEC" w:rsidRDefault="00A30BEC" w:rsidP="00A30BEC">
      <w:pPr>
        <w:pStyle w:val="MText"/>
        <w:rPr>
          <w:lang w:eastAsia="en-US"/>
        </w:rPr>
      </w:pPr>
      <w:r w:rsidRPr="00A30BEC">
        <w:rPr>
          <w:lang w:eastAsia="en-US"/>
        </w:rPr>
        <w:t>The low-temperature nitrogen sorption experiments were performed at boiling temperature of nitrogen (77 °K). The specific surface area (S</w:t>
      </w:r>
      <w:r w:rsidRPr="00A30BEC">
        <w:rPr>
          <w:vertAlign w:val="subscript"/>
          <w:lang w:eastAsia="en-US"/>
        </w:rPr>
        <w:t>A</w:t>
      </w:r>
      <w:r w:rsidRPr="00A30BEC">
        <w:rPr>
          <w:lang w:eastAsia="en-US"/>
        </w:rPr>
        <w:t>) was calculated according to the BET theory [31] up to the nitrogen relative pressure (P/P</w:t>
      </w:r>
      <w:r w:rsidRPr="00A30BEC">
        <w:rPr>
          <w:vertAlign w:val="subscript"/>
          <w:lang w:eastAsia="en-US"/>
        </w:rPr>
        <w:t>0</w:t>
      </w:r>
      <w:r w:rsidRPr="00A30BEC">
        <w:rPr>
          <w:lang w:eastAsia="en-US"/>
        </w:rPr>
        <w:t>) of 0.2. The total volume of pores (V</w:t>
      </w:r>
      <w:r w:rsidRPr="00A30BEC">
        <w:rPr>
          <w:vertAlign w:val="subscript"/>
          <w:lang w:eastAsia="en-US"/>
        </w:rPr>
        <w:t>p</w:t>
      </w:r>
      <w:r w:rsidRPr="00A30BEC">
        <w:rPr>
          <w:lang w:eastAsia="en-US"/>
        </w:rPr>
        <w:t>) was calculated at relative pressure (P/P</w:t>
      </w:r>
      <w:r w:rsidRPr="00A30BEC">
        <w:rPr>
          <w:vertAlign w:val="subscript"/>
          <w:lang w:eastAsia="en-US"/>
        </w:rPr>
        <w:t>0</w:t>
      </w:r>
      <w:r w:rsidRPr="00A30BEC">
        <w:rPr>
          <w:lang w:eastAsia="en-US"/>
        </w:rPr>
        <w:t>) of 0.95 and the volume of the micropore (V</w:t>
      </w:r>
      <w:r w:rsidRPr="00A30BEC">
        <w:rPr>
          <w:vertAlign w:val="subscript"/>
          <w:lang w:eastAsia="en-US"/>
        </w:rPr>
        <w:sym w:font="Symbol" w:char="F06D"/>
      </w:r>
      <w:r w:rsidRPr="00A30BEC">
        <w:rPr>
          <w:lang w:eastAsia="en-US"/>
        </w:rPr>
        <w:t>) from t-plot, using Harkins-Jura thickness values between 5Å and 9</w:t>
      </w:r>
      <w:r>
        <w:rPr>
          <w:lang w:eastAsia="en-US"/>
        </w:rPr>
        <w:t>0Å calculated according to the E</w:t>
      </w:r>
      <w:r w:rsidRPr="00A30BEC">
        <w:rPr>
          <w:lang w:eastAsia="en-US"/>
        </w:rPr>
        <w:t>quation</w:t>
      </w:r>
      <w:r>
        <w:rPr>
          <w:lang w:eastAsia="en-US"/>
        </w:rPr>
        <w:t xml:space="preserve"> 2.</w:t>
      </w:r>
    </w:p>
    <w:p w:rsidR="00A30BEC" w:rsidRDefault="00A30BEC" w:rsidP="00F42523">
      <w:pPr>
        <w:pStyle w:val="MFigure"/>
        <w:jc w:val="right"/>
        <w:rPr>
          <w:lang w:eastAsia="en-US"/>
        </w:rPr>
      </w:pPr>
      <m:oMath>
        <m:r>
          <w:rPr>
            <w:rFonts w:ascii="Cambria Math" w:hAnsi="Cambria Math"/>
            <w:lang w:eastAsia="en-US"/>
          </w:rPr>
          <m:t>t</m:t>
        </m:r>
        <m:r>
          <m:rPr>
            <m:sty m:val="p"/>
          </m:rPr>
          <w:rPr>
            <w:rFonts w:ascii="Cambria Math" w:hAnsi="Cambria Math"/>
            <w:lang w:eastAsia="en-US"/>
          </w:rPr>
          <m:t>=</m:t>
        </m:r>
        <m:rad>
          <m:radPr>
            <m:degHide m:val="on"/>
            <m:ctrlPr>
              <w:rPr>
                <w:rFonts w:ascii="Cambria Math" w:hAnsi="Cambria Math"/>
                <w:lang w:eastAsia="en-US"/>
              </w:rPr>
            </m:ctrlPr>
          </m:radPr>
          <m:deg/>
          <m:e>
            <m:f>
              <m:fPr>
                <m:ctrlPr>
                  <w:rPr>
                    <w:rFonts w:ascii="Cambria Math" w:hAnsi="Cambria Math"/>
                    <w:lang w:eastAsia="en-US"/>
                  </w:rPr>
                </m:ctrlPr>
              </m:fPr>
              <m:num>
                <m:r>
                  <m:rPr>
                    <m:sty m:val="p"/>
                  </m:rPr>
                  <w:rPr>
                    <w:rFonts w:ascii="Cambria Math" w:hAnsi="Cambria Math"/>
                    <w:lang w:eastAsia="en-US"/>
                  </w:rPr>
                  <m:t>13.99</m:t>
                </m:r>
              </m:num>
              <m:den>
                <m:r>
                  <m:rPr>
                    <m:sty m:val="p"/>
                  </m:rPr>
                  <w:rPr>
                    <w:rFonts w:ascii="Cambria Math" w:hAnsi="Cambria Math"/>
                    <w:lang w:eastAsia="en-US"/>
                  </w:rPr>
                  <m:t>0.034-</m:t>
                </m:r>
                <m:r>
                  <w:rPr>
                    <w:rFonts w:ascii="Cambria Math" w:hAnsi="Cambria Math"/>
                    <w:lang w:eastAsia="en-US"/>
                  </w:rPr>
                  <m:t>log</m:t>
                </m:r>
                <m:f>
                  <m:fPr>
                    <m:ctrlPr>
                      <w:rPr>
                        <w:rFonts w:ascii="Cambria Math" w:hAnsi="Cambria Math"/>
                        <w:lang w:eastAsia="en-US"/>
                      </w:rPr>
                    </m:ctrlPr>
                  </m:fPr>
                  <m:num>
                    <m:r>
                      <w:rPr>
                        <w:rFonts w:ascii="Cambria Math" w:hAnsi="Cambria Math"/>
                        <w:lang w:eastAsia="en-US"/>
                      </w:rPr>
                      <m:t>P</m:t>
                    </m:r>
                  </m:num>
                  <m:den>
                    <m:sSub>
                      <m:sSubPr>
                        <m:ctrlPr>
                          <w:rPr>
                            <w:rFonts w:ascii="Cambria Math" w:hAnsi="Cambria Math"/>
                            <w:lang w:eastAsia="en-US"/>
                          </w:rPr>
                        </m:ctrlPr>
                      </m:sSubPr>
                      <m:e>
                        <m:r>
                          <w:rPr>
                            <w:rFonts w:ascii="Cambria Math" w:hAnsi="Cambria Math"/>
                            <w:lang w:eastAsia="en-US"/>
                          </w:rPr>
                          <m:t>P</m:t>
                        </m:r>
                      </m:e>
                      <m:sub>
                        <m:r>
                          <m:rPr>
                            <m:sty m:val="p"/>
                          </m:rPr>
                          <w:rPr>
                            <w:rFonts w:ascii="Cambria Math" w:hAnsi="Cambria Math"/>
                            <w:lang w:eastAsia="en-US"/>
                          </w:rPr>
                          <m:t>0</m:t>
                        </m:r>
                      </m:sub>
                    </m:sSub>
                  </m:den>
                </m:f>
              </m:den>
            </m:f>
          </m:e>
        </m:rad>
      </m:oMath>
      <w:r w:rsidR="00F42523">
        <w:rPr>
          <w:lang w:eastAsia="en-US"/>
        </w:rPr>
        <w:tab/>
      </w:r>
      <w:r w:rsidR="00F42523">
        <w:rPr>
          <w:lang w:eastAsia="en-US"/>
        </w:rPr>
        <w:tab/>
      </w:r>
      <w:r w:rsidR="00F42523">
        <w:rPr>
          <w:lang w:eastAsia="en-US"/>
        </w:rPr>
        <w:tab/>
      </w:r>
      <w:r w:rsidR="00F42523">
        <w:rPr>
          <w:lang w:eastAsia="en-US"/>
        </w:rPr>
        <w:tab/>
      </w:r>
      <w:r w:rsidR="00F42523">
        <w:rPr>
          <w:lang w:eastAsia="en-US"/>
        </w:rPr>
        <w:tab/>
      </w:r>
      <w:r w:rsidR="00F42523">
        <w:rPr>
          <w:lang w:eastAsia="en-US"/>
        </w:rPr>
        <w:tab/>
        <w:t>(2)</w:t>
      </w:r>
    </w:p>
    <w:p w:rsidR="00CA58DB" w:rsidRPr="00A30BEC" w:rsidRDefault="00CA58DB" w:rsidP="00A30BEC">
      <w:pPr>
        <w:pStyle w:val="MText"/>
        <w:rPr>
          <w:lang w:eastAsia="en-US"/>
        </w:rPr>
      </w:pPr>
    </w:p>
    <w:p w:rsidR="00C87ABB" w:rsidRDefault="00C87ABB" w:rsidP="00B615DC">
      <w:pPr>
        <w:pStyle w:val="MText"/>
      </w:pPr>
      <w:r>
        <w:t>Average pore size (APS) is calculated according to the Eq. 3.</w:t>
      </w:r>
    </w:p>
    <w:p w:rsidR="00C87ABB" w:rsidRPr="00652532" w:rsidRDefault="00652532" w:rsidP="00F42523">
      <w:pPr>
        <w:pStyle w:val="MFigure"/>
        <w:jc w:val="right"/>
      </w:pPr>
      <m:oMath>
        <m:r>
          <m:rPr>
            <m:sty m:val="p"/>
          </m:rPr>
          <w:rPr>
            <w:rFonts w:ascii="Cambria Math" w:hAnsi="Cambria Math"/>
          </w:rPr>
          <m:t>APS=</m:t>
        </m:r>
        <m:f>
          <m:fPr>
            <m:ctrlPr>
              <w:rPr>
                <w:rFonts w:ascii="Cambria Math" w:hAnsi="Cambria Math"/>
              </w:rPr>
            </m:ctrlPr>
          </m:fPr>
          <m:num>
            <m:sSub>
              <m:sSubPr>
                <m:ctrlPr>
                  <w:rPr>
                    <w:rFonts w:ascii="Cambria Math" w:hAnsi="Cambria Math"/>
                  </w:rPr>
                </m:ctrlPr>
              </m:sSubPr>
              <m:e>
                <m:r>
                  <m:rPr>
                    <m:sty m:val="p"/>
                  </m:rPr>
                  <w:rPr>
                    <w:rFonts w:ascii="Cambria Math" w:hAnsi="Cambria Math"/>
                  </w:rPr>
                  <m:t>2V</m:t>
                </m:r>
              </m:e>
              <m:sub>
                <m:r>
                  <m:rPr>
                    <m:sty m:val="p"/>
                  </m:rPr>
                  <w:rPr>
                    <w:rFonts w:ascii="Cambria Math" w:hAnsi="Cambria Math"/>
                  </w:rPr>
                  <m:t>p</m:t>
                </m:r>
              </m:sub>
            </m:sSub>
          </m:num>
          <m:den>
            <m:sSub>
              <m:sSubPr>
                <m:ctrlPr>
                  <w:rPr>
                    <w:rFonts w:ascii="Cambria Math" w:hAnsi="Cambria Math"/>
                  </w:rPr>
                </m:ctrlPr>
              </m:sSubPr>
              <m:e>
                <m:r>
                  <m:rPr>
                    <m:sty m:val="p"/>
                  </m:rPr>
                  <w:rPr>
                    <w:rFonts w:ascii="Cambria Math" w:hAnsi="Cambria Math"/>
                  </w:rPr>
                  <m:t>S</m:t>
                </m:r>
              </m:e>
              <m:sub>
                <m:r>
                  <m:rPr>
                    <m:sty m:val="p"/>
                  </m:rPr>
                  <w:rPr>
                    <w:rFonts w:ascii="Cambria Math" w:hAnsi="Cambria Math"/>
                  </w:rPr>
                  <m:t>A</m:t>
                </m:r>
              </m:sub>
            </m:sSub>
          </m:den>
        </m:f>
      </m:oMath>
      <w:r w:rsidR="00F42523">
        <w:tab/>
      </w:r>
      <w:r w:rsidR="00F42523">
        <w:tab/>
      </w:r>
      <w:r w:rsidR="00F42523">
        <w:tab/>
      </w:r>
      <w:r w:rsidR="00F42523">
        <w:tab/>
      </w:r>
      <w:r w:rsidR="00F42523">
        <w:tab/>
      </w:r>
      <w:r w:rsidR="00F42523">
        <w:tab/>
      </w:r>
      <w:r w:rsidR="00F42523">
        <w:tab/>
        <w:t>(3)</w:t>
      </w:r>
    </w:p>
    <w:p w:rsidR="00CA58DB" w:rsidRDefault="00CA58DB" w:rsidP="00B615DC">
      <w:pPr>
        <w:pStyle w:val="MText"/>
      </w:pPr>
    </w:p>
    <w:p w:rsidR="00D66550" w:rsidRDefault="00D66550" w:rsidP="00D66550">
      <w:pPr>
        <w:pStyle w:val="MTablecaption"/>
      </w:pPr>
      <w:r w:rsidRPr="00D66550">
        <w:rPr>
          <w:b/>
        </w:rPr>
        <w:t>Table 2.</w:t>
      </w:r>
      <w:r>
        <w:t xml:space="preserve"> Some physical parameters of TiC derived carbons</w:t>
      </w:r>
    </w:p>
    <w:tbl>
      <w:tblPr>
        <w:tblW w:w="0" w:type="auto"/>
        <w:jc w:val="center"/>
        <w:tblLayout w:type="fixed"/>
        <w:tblLook w:val="01E0"/>
      </w:tblPr>
      <w:tblGrid>
        <w:gridCol w:w="1789"/>
        <w:gridCol w:w="852"/>
        <w:gridCol w:w="1047"/>
        <w:gridCol w:w="992"/>
        <w:gridCol w:w="142"/>
        <w:gridCol w:w="938"/>
        <w:gridCol w:w="196"/>
        <w:gridCol w:w="1424"/>
      </w:tblGrid>
      <w:tr w:rsidR="00D66550" w:rsidTr="003902E8">
        <w:trPr>
          <w:jc w:val="center"/>
        </w:trPr>
        <w:tc>
          <w:tcPr>
            <w:tcW w:w="1789" w:type="dxa"/>
            <w:tcBorders>
              <w:top w:val="single" w:sz="4" w:space="0" w:color="000000"/>
              <w:bottom w:val="single" w:sz="4" w:space="0" w:color="000000"/>
            </w:tcBorders>
          </w:tcPr>
          <w:p w:rsidR="00D66550" w:rsidRDefault="00D66550" w:rsidP="00D66550">
            <w:pPr>
              <w:pStyle w:val="MText"/>
              <w:ind w:firstLine="0"/>
              <w:jc w:val="center"/>
            </w:pPr>
            <w:r>
              <w:t>Notation of CDC material</w:t>
            </w:r>
          </w:p>
        </w:tc>
        <w:tc>
          <w:tcPr>
            <w:tcW w:w="852" w:type="dxa"/>
            <w:tcBorders>
              <w:top w:val="single" w:sz="4" w:space="0" w:color="000000"/>
              <w:bottom w:val="single" w:sz="4" w:space="0" w:color="000000"/>
            </w:tcBorders>
          </w:tcPr>
          <w:p w:rsidR="00D66550" w:rsidRDefault="00D66550" w:rsidP="00D66550">
            <w:pPr>
              <w:pStyle w:val="MText"/>
              <w:ind w:firstLine="0"/>
              <w:jc w:val="center"/>
            </w:pPr>
            <w:r>
              <w:t>T</w:t>
            </w:r>
            <w:r>
              <w:rPr>
                <w:vertAlign w:val="subscript"/>
              </w:rPr>
              <w:t>Chlorin</w:t>
            </w:r>
            <w:r>
              <w:t xml:space="preserve"> [</w:t>
            </w:r>
            <w:r>
              <w:sym w:font="Symbol" w:char="F0B0"/>
            </w:r>
            <w:r>
              <w:t>C]</w:t>
            </w:r>
          </w:p>
        </w:tc>
        <w:tc>
          <w:tcPr>
            <w:tcW w:w="1047" w:type="dxa"/>
            <w:tcBorders>
              <w:top w:val="single" w:sz="4" w:space="0" w:color="000000"/>
              <w:bottom w:val="single" w:sz="4" w:space="0" w:color="000000"/>
            </w:tcBorders>
          </w:tcPr>
          <w:p w:rsidR="00D66550" w:rsidRDefault="00D66550" w:rsidP="00D66550">
            <w:pPr>
              <w:pStyle w:val="MText"/>
              <w:ind w:firstLine="0"/>
              <w:jc w:val="center"/>
            </w:pPr>
            <w:r>
              <w:t>S</w:t>
            </w:r>
            <w:r>
              <w:rPr>
                <w:vertAlign w:val="subscript"/>
              </w:rPr>
              <w:t>A</w:t>
            </w:r>
          </w:p>
          <w:p w:rsidR="00D66550" w:rsidRDefault="00D66550" w:rsidP="00D66550">
            <w:pPr>
              <w:pStyle w:val="MText"/>
              <w:ind w:firstLine="0"/>
              <w:jc w:val="center"/>
            </w:pPr>
            <w:r>
              <w:t>[m</w:t>
            </w:r>
            <w:r>
              <w:rPr>
                <w:vertAlign w:val="superscript"/>
              </w:rPr>
              <w:t>2</w:t>
            </w:r>
            <w:r>
              <w:t xml:space="preserve"> g</w:t>
            </w:r>
            <w:r>
              <w:rPr>
                <w:vertAlign w:val="superscript"/>
              </w:rPr>
              <w:t>-1</w:t>
            </w:r>
            <w:r>
              <w:t>]</w:t>
            </w:r>
          </w:p>
        </w:tc>
        <w:tc>
          <w:tcPr>
            <w:tcW w:w="1134" w:type="dxa"/>
            <w:gridSpan w:val="2"/>
            <w:tcBorders>
              <w:top w:val="single" w:sz="4" w:space="0" w:color="000000"/>
              <w:bottom w:val="single" w:sz="4" w:space="0" w:color="000000"/>
            </w:tcBorders>
          </w:tcPr>
          <w:p w:rsidR="00D66550" w:rsidRDefault="00D66550" w:rsidP="00D66550">
            <w:pPr>
              <w:pStyle w:val="MText"/>
              <w:jc w:val="center"/>
            </w:pPr>
            <w:r>
              <w:t>Vp</w:t>
            </w:r>
          </w:p>
          <w:p w:rsidR="00D66550" w:rsidRDefault="00D66550" w:rsidP="00D66550">
            <w:pPr>
              <w:pStyle w:val="MText"/>
              <w:ind w:firstLine="0"/>
              <w:jc w:val="center"/>
            </w:pPr>
            <w:r>
              <w:t>[cm</w:t>
            </w:r>
            <w:r>
              <w:rPr>
                <w:vertAlign w:val="superscript"/>
              </w:rPr>
              <w:t>3</w:t>
            </w:r>
            <w:r>
              <w:t xml:space="preserve"> g</w:t>
            </w:r>
            <w:r>
              <w:rPr>
                <w:vertAlign w:val="superscript"/>
              </w:rPr>
              <w:t>-1</w:t>
            </w:r>
            <w:r>
              <w:t>]</w:t>
            </w:r>
          </w:p>
        </w:tc>
        <w:tc>
          <w:tcPr>
            <w:tcW w:w="1134" w:type="dxa"/>
            <w:gridSpan w:val="2"/>
            <w:tcBorders>
              <w:top w:val="single" w:sz="4" w:space="0" w:color="000000"/>
              <w:bottom w:val="single" w:sz="4" w:space="0" w:color="000000"/>
            </w:tcBorders>
          </w:tcPr>
          <w:p w:rsidR="00D66550" w:rsidRDefault="00D66550" w:rsidP="00D66550">
            <w:pPr>
              <w:pStyle w:val="MText"/>
              <w:jc w:val="center"/>
            </w:pPr>
            <w:r>
              <w:t>V</w:t>
            </w:r>
            <w:r>
              <w:rPr>
                <w:vertAlign w:val="subscript"/>
              </w:rPr>
              <w:sym w:font="Symbol" w:char="F06D"/>
            </w:r>
          </w:p>
          <w:p w:rsidR="00D66550" w:rsidRDefault="00D66550" w:rsidP="00D66550">
            <w:pPr>
              <w:pStyle w:val="MText"/>
              <w:ind w:firstLine="0"/>
              <w:jc w:val="center"/>
            </w:pPr>
            <w:r>
              <w:t>[cm</w:t>
            </w:r>
            <w:r>
              <w:rPr>
                <w:vertAlign w:val="superscript"/>
              </w:rPr>
              <w:t>3</w:t>
            </w:r>
            <w:r>
              <w:t xml:space="preserve"> g</w:t>
            </w:r>
            <w:r>
              <w:rPr>
                <w:vertAlign w:val="superscript"/>
              </w:rPr>
              <w:t>-1</w:t>
            </w:r>
            <w:r>
              <w:t>]</w:t>
            </w:r>
          </w:p>
        </w:tc>
        <w:tc>
          <w:tcPr>
            <w:tcW w:w="1424" w:type="dxa"/>
            <w:tcBorders>
              <w:top w:val="single" w:sz="4" w:space="0" w:color="000000"/>
              <w:bottom w:val="single" w:sz="4" w:space="0" w:color="000000"/>
            </w:tcBorders>
          </w:tcPr>
          <w:p w:rsidR="00D66550" w:rsidRDefault="00D66550" w:rsidP="00D66550">
            <w:pPr>
              <w:pStyle w:val="MText"/>
              <w:jc w:val="center"/>
            </w:pPr>
            <w:r>
              <w:t>APS</w:t>
            </w:r>
          </w:p>
          <w:p w:rsidR="00D66550" w:rsidRDefault="00D66550" w:rsidP="00D66550">
            <w:pPr>
              <w:pStyle w:val="MText"/>
              <w:jc w:val="center"/>
            </w:pPr>
            <w:r>
              <w:t>[Å]</w:t>
            </w:r>
          </w:p>
        </w:tc>
      </w:tr>
      <w:tr w:rsidR="00D66550" w:rsidTr="003902E8">
        <w:trPr>
          <w:jc w:val="center"/>
        </w:trPr>
        <w:tc>
          <w:tcPr>
            <w:tcW w:w="1789" w:type="dxa"/>
          </w:tcPr>
          <w:p w:rsidR="00D66550" w:rsidRDefault="00D66550" w:rsidP="00D66550">
            <w:pPr>
              <w:pStyle w:val="MText"/>
            </w:pPr>
            <w:r>
              <w:t>TiC-600</w:t>
            </w:r>
          </w:p>
        </w:tc>
        <w:tc>
          <w:tcPr>
            <w:tcW w:w="852" w:type="dxa"/>
          </w:tcPr>
          <w:p w:rsidR="00D66550" w:rsidRDefault="00D66550" w:rsidP="00D66550">
            <w:pPr>
              <w:pStyle w:val="MText"/>
              <w:ind w:firstLine="0"/>
              <w:jc w:val="center"/>
            </w:pPr>
            <w:r>
              <w:t>600</w:t>
            </w:r>
          </w:p>
        </w:tc>
        <w:tc>
          <w:tcPr>
            <w:tcW w:w="1047" w:type="dxa"/>
          </w:tcPr>
          <w:p w:rsidR="00D66550" w:rsidRDefault="00D66550" w:rsidP="00D66550">
            <w:pPr>
              <w:pStyle w:val="MText"/>
              <w:ind w:firstLine="0"/>
              <w:jc w:val="center"/>
            </w:pPr>
            <w:r>
              <w:t>1150</w:t>
            </w:r>
          </w:p>
        </w:tc>
        <w:tc>
          <w:tcPr>
            <w:tcW w:w="992" w:type="dxa"/>
          </w:tcPr>
          <w:p w:rsidR="00D66550" w:rsidRDefault="00D66550" w:rsidP="00D66550">
            <w:pPr>
              <w:pStyle w:val="MText"/>
              <w:jc w:val="center"/>
            </w:pPr>
            <w:r>
              <w:t>0.53</w:t>
            </w:r>
          </w:p>
        </w:tc>
        <w:tc>
          <w:tcPr>
            <w:tcW w:w="1080" w:type="dxa"/>
            <w:gridSpan w:val="2"/>
          </w:tcPr>
          <w:p w:rsidR="00D66550" w:rsidRDefault="00D66550" w:rsidP="00D66550">
            <w:pPr>
              <w:pStyle w:val="MText"/>
              <w:jc w:val="center"/>
            </w:pPr>
            <w:r>
              <w:t>0.49</w:t>
            </w:r>
          </w:p>
        </w:tc>
        <w:tc>
          <w:tcPr>
            <w:tcW w:w="1620" w:type="dxa"/>
            <w:gridSpan w:val="2"/>
          </w:tcPr>
          <w:p w:rsidR="00D66550" w:rsidRDefault="00D66550" w:rsidP="00D66550">
            <w:pPr>
              <w:pStyle w:val="MText"/>
              <w:jc w:val="center"/>
            </w:pPr>
            <w:r>
              <w:t>9.3</w:t>
            </w:r>
          </w:p>
        </w:tc>
      </w:tr>
      <w:tr w:rsidR="00D66550" w:rsidTr="003902E8">
        <w:trPr>
          <w:jc w:val="center"/>
        </w:trPr>
        <w:tc>
          <w:tcPr>
            <w:tcW w:w="1789" w:type="dxa"/>
            <w:tcBorders>
              <w:bottom w:val="single" w:sz="4" w:space="0" w:color="000000"/>
            </w:tcBorders>
          </w:tcPr>
          <w:p w:rsidR="00D66550" w:rsidRDefault="00D66550" w:rsidP="00D66550">
            <w:pPr>
              <w:pStyle w:val="MText"/>
            </w:pPr>
            <w:r>
              <w:t>TiC-800</w:t>
            </w:r>
          </w:p>
        </w:tc>
        <w:tc>
          <w:tcPr>
            <w:tcW w:w="852" w:type="dxa"/>
            <w:tcBorders>
              <w:bottom w:val="single" w:sz="4" w:space="0" w:color="000000"/>
            </w:tcBorders>
          </w:tcPr>
          <w:p w:rsidR="00D66550" w:rsidRDefault="00D66550" w:rsidP="00D66550">
            <w:pPr>
              <w:pStyle w:val="MText"/>
              <w:ind w:firstLine="0"/>
              <w:jc w:val="center"/>
            </w:pPr>
            <w:r>
              <w:t>800</w:t>
            </w:r>
          </w:p>
        </w:tc>
        <w:tc>
          <w:tcPr>
            <w:tcW w:w="1047" w:type="dxa"/>
            <w:tcBorders>
              <w:bottom w:val="single" w:sz="4" w:space="0" w:color="000000"/>
            </w:tcBorders>
          </w:tcPr>
          <w:p w:rsidR="00D66550" w:rsidRDefault="00D66550" w:rsidP="00D66550">
            <w:pPr>
              <w:pStyle w:val="MText"/>
              <w:ind w:firstLine="0"/>
              <w:jc w:val="center"/>
            </w:pPr>
            <w:r>
              <w:t>1470</w:t>
            </w:r>
          </w:p>
        </w:tc>
        <w:tc>
          <w:tcPr>
            <w:tcW w:w="992" w:type="dxa"/>
            <w:tcBorders>
              <w:bottom w:val="single" w:sz="4" w:space="0" w:color="000000"/>
            </w:tcBorders>
          </w:tcPr>
          <w:p w:rsidR="00D66550" w:rsidRDefault="00D66550" w:rsidP="00D66550">
            <w:pPr>
              <w:pStyle w:val="MText"/>
              <w:jc w:val="center"/>
            </w:pPr>
            <w:r>
              <w:t>0.71</w:t>
            </w:r>
          </w:p>
        </w:tc>
        <w:tc>
          <w:tcPr>
            <w:tcW w:w="1080" w:type="dxa"/>
            <w:gridSpan w:val="2"/>
            <w:tcBorders>
              <w:bottom w:val="single" w:sz="4" w:space="0" w:color="000000"/>
            </w:tcBorders>
          </w:tcPr>
          <w:p w:rsidR="00D66550" w:rsidRDefault="00D66550" w:rsidP="00D66550">
            <w:pPr>
              <w:pStyle w:val="MText"/>
              <w:jc w:val="center"/>
            </w:pPr>
            <w:r>
              <w:t>0.59</w:t>
            </w:r>
          </w:p>
        </w:tc>
        <w:tc>
          <w:tcPr>
            <w:tcW w:w="1620" w:type="dxa"/>
            <w:gridSpan w:val="2"/>
            <w:tcBorders>
              <w:bottom w:val="single" w:sz="4" w:space="0" w:color="000000"/>
            </w:tcBorders>
          </w:tcPr>
          <w:p w:rsidR="00D66550" w:rsidRDefault="00D66550" w:rsidP="00D66550">
            <w:pPr>
              <w:pStyle w:val="MText"/>
              <w:jc w:val="center"/>
            </w:pPr>
            <w:r>
              <w:t>10.2</w:t>
            </w:r>
          </w:p>
        </w:tc>
      </w:tr>
    </w:tbl>
    <w:p w:rsidR="00CA58DB" w:rsidRDefault="00CA58DB" w:rsidP="00D66550">
      <w:pPr>
        <w:pStyle w:val="MText"/>
        <w:ind w:firstLine="0"/>
        <w:rPr>
          <w:lang w:eastAsia="en-US"/>
        </w:rPr>
      </w:pPr>
    </w:p>
    <w:p w:rsidR="00CA58DB" w:rsidRDefault="00CA58DB" w:rsidP="00CA58DB">
      <w:pPr>
        <w:pStyle w:val="MHeading1"/>
      </w:pPr>
      <w:r>
        <w:t xml:space="preserve">3. </w:t>
      </w:r>
      <w:r w:rsidRPr="00CA58DB">
        <w:t>Electrochemical properties</w:t>
      </w:r>
    </w:p>
    <w:p w:rsidR="00CA58DB" w:rsidRDefault="00CA58DB" w:rsidP="00CA58DB">
      <w:pPr>
        <w:pStyle w:val="MHeading2"/>
        <w:rPr>
          <w:lang w:eastAsia="en-US"/>
        </w:rPr>
      </w:pPr>
      <w:r>
        <w:rPr>
          <w:lang w:eastAsia="en-US"/>
        </w:rPr>
        <w:t>3.1. Experimental setup</w:t>
      </w:r>
    </w:p>
    <w:p w:rsidR="00CA58DB" w:rsidRDefault="00CA58DB" w:rsidP="002D1A2B">
      <w:pPr>
        <w:pStyle w:val="MText"/>
      </w:pPr>
      <w:r>
        <w:t>Electrochemical characterization of the actuators was performed in sealed electrochemical cell at room temperature, by using the Solatron potentiostat 1287 with FRA analyzer. Experiments of cyclic voltammetry (CV), constant current (CC), constant potential (CP) and electrochemical impedance spectroscopy (EIS) techniques were carried out. The CV was performed at different voltage sweep rates: 2, 5, 10 ja 50 mV s</w:t>
      </w:r>
      <w:r>
        <w:rPr>
          <w:vertAlign w:val="superscript"/>
        </w:rPr>
        <w:t>-1</w:t>
      </w:r>
      <w:r>
        <w:t>. The region of working voltage was varied in the interval of: 0 </w:t>
      </w:r>
      <w:r>
        <w:sym w:font="Symbol" w:char="F02D"/>
      </w:r>
      <w:r>
        <w:t> 2.5 V, 0 </w:t>
      </w:r>
      <w:r>
        <w:sym w:font="Symbol" w:char="F02D"/>
      </w:r>
      <w:r>
        <w:t> 2.7 V and 0 </w:t>
      </w:r>
      <w:r>
        <w:sym w:font="Symbol" w:char="F02D"/>
      </w:r>
      <w:r>
        <w:t> 3 V. The galvanostatic measurements were performed in the current range of 10 </w:t>
      </w:r>
      <w:r>
        <w:sym w:font="Symbol" w:char="F02D"/>
      </w:r>
      <w:r>
        <w:t> 1000 mA at voltages from 0.05 V to 3 V. The impedance spectra were recorded at fixed DC potentials: 1.5 V; 2.5 V and 2.7 V, using an AC signal of 5 mV.</w:t>
      </w:r>
    </w:p>
    <w:p w:rsidR="00CA58DB" w:rsidRDefault="00CA58DB" w:rsidP="00CA58DB">
      <w:pPr>
        <w:pStyle w:val="MHeading2"/>
        <w:rPr>
          <w:lang w:eastAsia="en-US"/>
        </w:rPr>
      </w:pPr>
      <w:r>
        <w:rPr>
          <w:lang w:eastAsia="en-US"/>
        </w:rPr>
        <w:t xml:space="preserve">3.2. </w:t>
      </w:r>
      <w:r w:rsidRPr="00CA58DB">
        <w:rPr>
          <w:lang w:eastAsia="en-US"/>
        </w:rPr>
        <w:t>Results of electrochemical measurements</w:t>
      </w:r>
    </w:p>
    <w:p w:rsidR="00CA58DB" w:rsidRDefault="00CA58DB" w:rsidP="00CA58DB">
      <w:pPr>
        <w:pStyle w:val="MText"/>
      </w:pPr>
      <w:r>
        <w:lastRenderedPageBreak/>
        <w:t>The charge-discharge capacitance calculated from the cyclic voltammetry plots of actuators is shown in Figures 3a and 3b. Note that the specific capacitance is expressed per dry weight of carbon (F·g</w:t>
      </w:r>
      <w:r>
        <w:rPr>
          <w:vertAlign w:val="superscript"/>
        </w:rPr>
        <w:t>-1</w:t>
      </w:r>
      <w:r>
        <w:t>).</w:t>
      </w:r>
    </w:p>
    <w:p w:rsidR="00CA58DB" w:rsidRDefault="00B27D97" w:rsidP="00CA58DB">
      <w:pPr>
        <w:pStyle w:val="MTablecaption"/>
        <w:rPr>
          <w:lang w:eastAsia="en-US"/>
        </w:rPr>
      </w:pPr>
      <w:r w:rsidRPr="00FA3C6B">
        <w:rPr>
          <w:b/>
          <w:lang w:eastAsia="en-US"/>
        </w:rPr>
        <w:t>Figure 3</w:t>
      </w:r>
      <w:r>
        <w:rPr>
          <w:lang w:eastAsia="en-US"/>
        </w:rPr>
        <w:t xml:space="preserve">. </w:t>
      </w:r>
      <w:r w:rsidRPr="00B27D97">
        <w:rPr>
          <w:lang w:eastAsia="en-US"/>
        </w:rPr>
        <w:t xml:space="preserve">Capacitance vs. voltage of the actuators EMI600 </w:t>
      </w:r>
      <w:r w:rsidRPr="00652532">
        <w:rPr>
          <w:b/>
          <w:lang w:eastAsia="en-US"/>
        </w:rPr>
        <w:t>(a)</w:t>
      </w:r>
      <w:r w:rsidRPr="00B27D97">
        <w:rPr>
          <w:lang w:eastAsia="en-US"/>
        </w:rPr>
        <w:t xml:space="preserve"> and EMI800 </w:t>
      </w:r>
      <w:r w:rsidRPr="00652532">
        <w:rPr>
          <w:b/>
          <w:lang w:eastAsia="en-US"/>
        </w:rPr>
        <w:t>(b)</w:t>
      </w:r>
      <w:r w:rsidRPr="00B27D97">
        <w:rPr>
          <w:lang w:eastAsia="en-US"/>
        </w:rPr>
        <w:t xml:space="preserve"> at different voltage sweep rates.</w:t>
      </w:r>
    </w:p>
    <w:p w:rsidR="00B27D97" w:rsidRDefault="00B27D97" w:rsidP="00B27D97">
      <w:pPr>
        <w:pStyle w:val="MFigure"/>
      </w:pPr>
      <w:r>
        <w:rPr>
          <w:noProof/>
          <w:lang w:val="et-EE" w:eastAsia="et-EE"/>
        </w:rPr>
        <w:drawing>
          <wp:inline distT="0" distB="0" distL="0" distR="0">
            <wp:extent cx="6304915" cy="2818765"/>
            <wp:effectExtent l="19050" t="0" r="635" b="0"/>
            <wp:docPr id="7" name="Picture 6" descr="Capacita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acitance.jpg"/>
                    <pic:cNvPicPr/>
                  </pic:nvPicPr>
                  <pic:blipFill>
                    <a:blip r:embed="rId13" cstate="print"/>
                    <a:stretch>
                      <a:fillRect/>
                    </a:stretch>
                  </pic:blipFill>
                  <pic:spPr>
                    <a:xfrm>
                      <a:off x="0" y="0"/>
                      <a:ext cx="6304915" cy="2818765"/>
                    </a:xfrm>
                    <a:prstGeom prst="rect">
                      <a:avLst/>
                    </a:prstGeom>
                  </pic:spPr>
                </pic:pic>
              </a:graphicData>
            </a:graphic>
          </wp:inline>
        </w:drawing>
      </w:r>
    </w:p>
    <w:p w:rsidR="002D1A2B" w:rsidRDefault="002D1A2B" w:rsidP="002D1A2B">
      <w:pPr>
        <w:pStyle w:val="MText"/>
      </w:pPr>
    </w:p>
    <w:p w:rsidR="002D1A2B" w:rsidRPr="002D1A2B" w:rsidRDefault="002D1A2B" w:rsidP="002D1A2B">
      <w:pPr>
        <w:pStyle w:val="MText"/>
      </w:pPr>
      <w:r w:rsidRPr="002D1A2B">
        <w:t>The cyclic voltammetry analyses of the actuators show a non-faradic charging behavior, and the electrical double layer capacitance is predominant in the voltage range of 0 to 2.7 V. Generally, it is known that the specific capacitance may depend on the voltage sweep rate. In our study, the main difference between the linear actuators EMI600 and EMI800 is the carbonaceous material used in assembly. The actuator EMI600 was made from nanoporous TiC-600 carbon with the average pore size of APS = 9.3</w:t>
      </w:r>
      <w:r w:rsidR="00CF13F5">
        <w:t xml:space="preserve"> </w:t>
      </w:r>
      <w:r w:rsidRPr="002D1A2B">
        <w:t>Å, whereas carb</w:t>
      </w:r>
      <w:r w:rsidR="00CF13F5">
        <w:t>on in the actuator EMI800 has</w:t>
      </w:r>
      <w:r w:rsidRPr="002D1A2B">
        <w:t xml:space="preserve"> slightly increased APS of 10.2 Å. In Figures 4</w:t>
      </w:r>
      <w:r w:rsidR="00CF13F5">
        <w:t>a and 4b, it is seen that in</w:t>
      </w:r>
      <w:r w:rsidRPr="002D1A2B">
        <w:t xml:space="preserve"> case of EMI600 the potential sweep rate has a large influence on the capacitance. However, the specific capacitance of EMI800 is almost independent of voltage sweep rate. The observed differences in specific capacitance can be explained by different nanostructure and pore distribution of investigated carbon materials. TiC-800 has a sparse media with slightly higher pore volume compared to TiC-600. Hence, a sparse microstructure of TiC-800 provides higher mobility of electrolyte ions and dependencies to voltage sweep rate will become obvious at higher values. Similar behaviors were observed for TEA600 and TEA800, which differ from the EMI600 and EMI800 by the electrolyte used (1.0</w:t>
      </w:r>
      <w:r w:rsidR="00CF13F5">
        <w:t xml:space="preserve"> </w:t>
      </w:r>
      <w:r w:rsidRPr="002D1A2B">
        <w:t>M TEABF</w:t>
      </w:r>
      <w:r w:rsidRPr="00CF13F5">
        <w:rPr>
          <w:vertAlign w:val="subscript"/>
        </w:rPr>
        <w:t>4</w:t>
      </w:r>
      <w:r w:rsidRPr="002D1A2B">
        <w:t>/PC vs. EMITf).</w:t>
      </w:r>
    </w:p>
    <w:p w:rsidR="002D1A2B" w:rsidRPr="002D1A2B" w:rsidRDefault="002D1A2B" w:rsidP="002D1A2B">
      <w:pPr>
        <w:pStyle w:val="MText"/>
      </w:pPr>
      <w:r w:rsidRPr="002D1A2B">
        <w:t>The EIS measurements were carried out at AC signal 5 mV and fixed DC potentials 2.5 V and 1.5 V in frequency range of 1 MHz to 5 mHz. The capacitance (C</w:t>
      </w:r>
      <w:r w:rsidRPr="00EE2102">
        <w:rPr>
          <w:vertAlign w:val="subscript"/>
        </w:rPr>
        <w:t>S</w:t>
      </w:r>
      <w:r w:rsidRPr="002D1A2B">
        <w:t>) was calculated at the frequency of 10 mHz and resistance of the actuators (R</w:t>
      </w:r>
      <w:r w:rsidRPr="00EE2102">
        <w:rPr>
          <w:vertAlign w:val="subscript"/>
        </w:rPr>
        <w:t>S</w:t>
      </w:r>
      <w:r w:rsidRPr="002D1A2B">
        <w:t>) at 100 Hz using the model of a series RC- circuit. The phase angle (</w:t>
      </w:r>
      <w:r w:rsidRPr="002D1A2B">
        <w:sym w:font="Symbol" w:char="F051"/>
      </w:r>
      <w:r w:rsidRPr="002D1A2B">
        <w:t xml:space="preserve">) for the ideal capacitors is –90°. In current study, the measured phase angle values of the actuators were in the range of –55° to –72°. The EMI600 sample has higher resistance than EMI800, and it has also lower capacitance than EMI800. This phenomenon can be explained by the fact that both devices EMI600 and EMI800 used the same EMITf electrolyte which has the unsymmetrical </w:t>
      </w:r>
      <w:r w:rsidRPr="002D1A2B">
        <w:lastRenderedPageBreak/>
        <w:t>cation with the ionic radii of 7.6</w:t>
      </w:r>
      <w:r w:rsidRPr="002D1A2B">
        <w:sym w:font="Symbol" w:char="F0B4"/>
      </w:r>
      <w:r w:rsidRPr="002D1A2B">
        <w:t>4.3 Å, but almost symmetric anion ~4 Å. Apparently, part of the nanopores in EMI600</w:t>
      </w:r>
      <w:r w:rsidR="00EE2102">
        <w:t xml:space="preserve"> are not suitable for adsorbing</w:t>
      </w:r>
      <w:r w:rsidRPr="002D1A2B">
        <w:t xml:space="preserve"> the cations due to the steric restrictions, which results in the decreased capacitance and the increased internal resistance. This fact is partly proven by the data of EMI800, which uses the same electrolyte, but has slightly larger nanopores in the carbon. The EMI800 has highest capacitance and also low internal resistance, which indicates on the best fit between the porous structure and the size of electrolyte ions. The calculated data from the EIS measurements is presented in Table 3.</w:t>
      </w:r>
    </w:p>
    <w:p w:rsidR="002D1A2B" w:rsidRDefault="002D1A2B" w:rsidP="002D1A2B">
      <w:pPr>
        <w:pStyle w:val="MTablecaption"/>
      </w:pPr>
      <w:r w:rsidRPr="002D1A2B">
        <w:rPr>
          <w:b/>
        </w:rPr>
        <w:t>Table 3</w:t>
      </w:r>
      <w:r>
        <w:rPr>
          <w:b/>
        </w:rPr>
        <w:t>.</w:t>
      </w:r>
      <w:r w:rsidRPr="002D1A2B">
        <w:t xml:space="preserve"> The series capacitance (C</w:t>
      </w:r>
      <w:r w:rsidRPr="002D1A2B">
        <w:rPr>
          <w:vertAlign w:val="subscript"/>
        </w:rPr>
        <w:t>s</w:t>
      </w:r>
      <w:r w:rsidRPr="002D1A2B">
        <w:t>), series resistance (R</w:t>
      </w:r>
      <w:r w:rsidRPr="002D1A2B">
        <w:rPr>
          <w:vertAlign w:val="subscript"/>
        </w:rPr>
        <w:t>s</w:t>
      </w:r>
      <w:r w:rsidRPr="002D1A2B">
        <w:t>) and phase angle (</w:t>
      </w:r>
      <w:r w:rsidRPr="002D1A2B">
        <w:sym w:font="Symbol" w:char="F051"/>
      </w:r>
      <w:r w:rsidRPr="002D1A2B">
        <w:t>) obtained from EIS spectra.</w:t>
      </w:r>
    </w:p>
    <w:tbl>
      <w:tblPr>
        <w:tblW w:w="0" w:type="auto"/>
        <w:jc w:val="center"/>
        <w:tblLayout w:type="fixed"/>
        <w:tblCellMar>
          <w:left w:w="70" w:type="dxa"/>
          <w:right w:w="70" w:type="dxa"/>
        </w:tblCellMar>
        <w:tblLook w:val="01E0"/>
      </w:tblPr>
      <w:tblGrid>
        <w:gridCol w:w="1528"/>
        <w:gridCol w:w="1767"/>
        <w:gridCol w:w="1768"/>
        <w:gridCol w:w="1768"/>
      </w:tblGrid>
      <w:tr w:rsidR="002D1A2B" w:rsidTr="00E506A7">
        <w:trPr>
          <w:cantSplit/>
          <w:trHeight w:val="851"/>
          <w:jc w:val="center"/>
        </w:trPr>
        <w:tc>
          <w:tcPr>
            <w:tcW w:w="1528" w:type="dxa"/>
            <w:tcBorders>
              <w:top w:val="single" w:sz="4" w:space="0" w:color="auto"/>
              <w:left w:val="nil"/>
              <w:right w:val="nil"/>
            </w:tcBorders>
          </w:tcPr>
          <w:p w:rsidR="002D1A2B" w:rsidRDefault="002D1A2B" w:rsidP="00E506A7">
            <w:pPr>
              <w:spacing w:line="360" w:lineRule="auto"/>
              <w:jc w:val="center"/>
            </w:pPr>
            <w:r>
              <w:t>Notation of actuator</w:t>
            </w:r>
          </w:p>
        </w:tc>
        <w:tc>
          <w:tcPr>
            <w:tcW w:w="1767" w:type="dxa"/>
            <w:tcBorders>
              <w:top w:val="single" w:sz="4" w:space="0" w:color="auto"/>
              <w:left w:val="nil"/>
              <w:bottom w:val="single" w:sz="4" w:space="0" w:color="auto"/>
              <w:right w:val="single" w:sz="4" w:space="0" w:color="FFFFFF"/>
            </w:tcBorders>
            <w:vAlign w:val="center"/>
          </w:tcPr>
          <w:p w:rsidR="002D1A2B" w:rsidRDefault="002D1A2B" w:rsidP="00E506A7">
            <w:pPr>
              <w:tabs>
                <w:tab w:val="left" w:pos="567"/>
              </w:tabs>
              <w:spacing w:line="360" w:lineRule="auto"/>
              <w:jc w:val="center"/>
              <w:rPr>
                <w:vertAlign w:val="subscript"/>
              </w:rPr>
            </w:pPr>
            <w:r>
              <w:t>C</w:t>
            </w:r>
            <w:r>
              <w:rPr>
                <w:vertAlign w:val="subscript"/>
              </w:rPr>
              <w:t>s</w:t>
            </w:r>
          </w:p>
          <w:p w:rsidR="002D1A2B" w:rsidRDefault="002D1A2B" w:rsidP="00E506A7">
            <w:pPr>
              <w:tabs>
                <w:tab w:val="left" w:pos="567"/>
              </w:tabs>
              <w:spacing w:line="360" w:lineRule="auto"/>
              <w:jc w:val="center"/>
            </w:pPr>
            <w:r>
              <w:t xml:space="preserve"> [F·g</w:t>
            </w:r>
            <w:r>
              <w:rPr>
                <w:vertAlign w:val="superscript"/>
              </w:rPr>
              <w:t>-1</w:t>
            </w:r>
            <w:r>
              <w:t>]</w:t>
            </w:r>
          </w:p>
        </w:tc>
        <w:tc>
          <w:tcPr>
            <w:tcW w:w="1768" w:type="dxa"/>
            <w:tcBorders>
              <w:top w:val="single" w:sz="4" w:space="0" w:color="auto"/>
              <w:left w:val="nil"/>
              <w:right w:val="nil"/>
            </w:tcBorders>
            <w:vAlign w:val="center"/>
          </w:tcPr>
          <w:p w:rsidR="002D1A2B" w:rsidRDefault="002D1A2B" w:rsidP="00E506A7">
            <w:pPr>
              <w:tabs>
                <w:tab w:val="left" w:pos="567"/>
              </w:tabs>
              <w:spacing w:line="360" w:lineRule="auto"/>
              <w:jc w:val="center"/>
            </w:pPr>
            <w:r>
              <w:t>R</w:t>
            </w:r>
            <w:r>
              <w:rPr>
                <w:vertAlign w:val="subscript"/>
              </w:rPr>
              <w:t>s</w:t>
            </w:r>
            <w:r>
              <w:t xml:space="preserve"> </w:t>
            </w:r>
          </w:p>
          <w:p w:rsidR="002D1A2B" w:rsidRDefault="002D1A2B" w:rsidP="00E506A7">
            <w:pPr>
              <w:tabs>
                <w:tab w:val="left" w:pos="567"/>
              </w:tabs>
              <w:spacing w:line="360" w:lineRule="auto"/>
              <w:jc w:val="center"/>
            </w:pPr>
            <w:r>
              <w:t>[Ω∙cm</w:t>
            </w:r>
            <w:r>
              <w:rPr>
                <w:vertAlign w:val="superscript"/>
              </w:rPr>
              <w:t>2</w:t>
            </w:r>
            <w:r>
              <w:t>]</w:t>
            </w:r>
          </w:p>
        </w:tc>
        <w:tc>
          <w:tcPr>
            <w:tcW w:w="1768" w:type="dxa"/>
            <w:tcBorders>
              <w:top w:val="single" w:sz="4" w:space="0" w:color="auto"/>
              <w:left w:val="nil"/>
              <w:right w:val="nil"/>
            </w:tcBorders>
            <w:vAlign w:val="center"/>
          </w:tcPr>
          <w:p w:rsidR="002D1A2B" w:rsidRDefault="002D1A2B" w:rsidP="00E506A7">
            <w:pPr>
              <w:tabs>
                <w:tab w:val="left" w:pos="567"/>
              </w:tabs>
              <w:spacing w:line="360" w:lineRule="auto"/>
              <w:jc w:val="center"/>
            </w:pPr>
            <w:r>
              <w:sym w:font="Symbol" w:char="F051"/>
            </w:r>
          </w:p>
          <w:p w:rsidR="002D1A2B" w:rsidRDefault="002D1A2B" w:rsidP="00E506A7">
            <w:pPr>
              <w:tabs>
                <w:tab w:val="left" w:pos="567"/>
              </w:tabs>
              <w:spacing w:line="360" w:lineRule="auto"/>
              <w:jc w:val="center"/>
            </w:pPr>
            <w:r>
              <w:t xml:space="preserve"> [ °]</w:t>
            </w:r>
          </w:p>
        </w:tc>
      </w:tr>
      <w:tr w:rsidR="002D1A2B" w:rsidTr="00E506A7">
        <w:trPr>
          <w:cantSplit/>
          <w:jc w:val="center"/>
        </w:trPr>
        <w:tc>
          <w:tcPr>
            <w:tcW w:w="1528" w:type="dxa"/>
            <w:tcBorders>
              <w:top w:val="single" w:sz="4" w:space="0" w:color="auto"/>
              <w:left w:val="nil"/>
              <w:bottom w:val="nil"/>
              <w:right w:val="nil"/>
            </w:tcBorders>
            <w:vAlign w:val="center"/>
          </w:tcPr>
          <w:p w:rsidR="002D1A2B" w:rsidRDefault="002D1A2B" w:rsidP="00E506A7">
            <w:pPr>
              <w:spacing w:line="360" w:lineRule="auto"/>
              <w:jc w:val="center"/>
            </w:pPr>
            <w:r>
              <w:t>TEA600</w:t>
            </w:r>
          </w:p>
        </w:tc>
        <w:tc>
          <w:tcPr>
            <w:tcW w:w="1767" w:type="dxa"/>
            <w:tcBorders>
              <w:top w:val="single" w:sz="4" w:space="0" w:color="auto"/>
              <w:left w:val="nil"/>
              <w:bottom w:val="nil"/>
              <w:right w:val="single" w:sz="4" w:space="0" w:color="FFFFFF"/>
            </w:tcBorders>
            <w:vAlign w:val="center"/>
          </w:tcPr>
          <w:p w:rsidR="002D1A2B" w:rsidRDefault="002D1A2B" w:rsidP="00E506A7">
            <w:pPr>
              <w:tabs>
                <w:tab w:val="left" w:pos="567"/>
              </w:tabs>
              <w:spacing w:line="360" w:lineRule="auto"/>
              <w:jc w:val="center"/>
            </w:pPr>
            <w:r>
              <w:t>64</w:t>
            </w:r>
          </w:p>
        </w:tc>
        <w:tc>
          <w:tcPr>
            <w:tcW w:w="1768" w:type="dxa"/>
            <w:tcBorders>
              <w:top w:val="single" w:sz="4" w:space="0" w:color="auto"/>
              <w:left w:val="nil"/>
              <w:bottom w:val="nil"/>
              <w:right w:val="nil"/>
            </w:tcBorders>
            <w:vAlign w:val="center"/>
          </w:tcPr>
          <w:p w:rsidR="002D1A2B" w:rsidRDefault="002D1A2B" w:rsidP="00E506A7">
            <w:pPr>
              <w:tabs>
                <w:tab w:val="left" w:pos="567"/>
              </w:tabs>
              <w:spacing w:line="360" w:lineRule="auto"/>
              <w:jc w:val="center"/>
            </w:pPr>
            <w:r>
              <w:t>3.9</w:t>
            </w:r>
          </w:p>
        </w:tc>
        <w:tc>
          <w:tcPr>
            <w:tcW w:w="1768" w:type="dxa"/>
            <w:tcBorders>
              <w:top w:val="single" w:sz="4" w:space="0" w:color="auto"/>
              <w:left w:val="nil"/>
              <w:bottom w:val="nil"/>
              <w:right w:val="nil"/>
            </w:tcBorders>
            <w:vAlign w:val="center"/>
          </w:tcPr>
          <w:p w:rsidR="002D1A2B" w:rsidRDefault="002D1A2B" w:rsidP="00E506A7">
            <w:pPr>
              <w:tabs>
                <w:tab w:val="left" w:pos="567"/>
              </w:tabs>
              <w:spacing w:line="360" w:lineRule="auto"/>
              <w:jc w:val="center"/>
            </w:pPr>
            <w:r>
              <w:t>-71</w:t>
            </w:r>
          </w:p>
        </w:tc>
      </w:tr>
      <w:tr w:rsidR="002D1A2B" w:rsidTr="00E506A7">
        <w:trPr>
          <w:cantSplit/>
          <w:jc w:val="center"/>
        </w:trPr>
        <w:tc>
          <w:tcPr>
            <w:tcW w:w="1528" w:type="dxa"/>
            <w:tcBorders>
              <w:top w:val="nil"/>
              <w:left w:val="nil"/>
              <w:bottom w:val="nil"/>
              <w:right w:val="nil"/>
            </w:tcBorders>
            <w:vAlign w:val="center"/>
          </w:tcPr>
          <w:p w:rsidR="002D1A2B" w:rsidRDefault="002D1A2B" w:rsidP="00E506A7">
            <w:pPr>
              <w:spacing w:line="360" w:lineRule="auto"/>
              <w:jc w:val="center"/>
            </w:pPr>
            <w:r>
              <w:t>TEA800</w:t>
            </w:r>
          </w:p>
        </w:tc>
        <w:tc>
          <w:tcPr>
            <w:tcW w:w="1767" w:type="dxa"/>
            <w:tcBorders>
              <w:top w:val="nil"/>
              <w:left w:val="nil"/>
              <w:bottom w:val="nil"/>
              <w:right w:val="single" w:sz="4" w:space="0" w:color="FFFFFF"/>
            </w:tcBorders>
            <w:vAlign w:val="center"/>
          </w:tcPr>
          <w:p w:rsidR="002D1A2B" w:rsidRDefault="002D1A2B" w:rsidP="00E506A7">
            <w:pPr>
              <w:tabs>
                <w:tab w:val="left" w:pos="567"/>
              </w:tabs>
              <w:spacing w:line="360" w:lineRule="auto"/>
              <w:jc w:val="center"/>
            </w:pPr>
            <w:r>
              <w:t>112</w:t>
            </w:r>
          </w:p>
        </w:tc>
        <w:tc>
          <w:tcPr>
            <w:tcW w:w="1768" w:type="dxa"/>
            <w:tcBorders>
              <w:top w:val="nil"/>
              <w:left w:val="nil"/>
              <w:bottom w:val="nil"/>
              <w:right w:val="nil"/>
            </w:tcBorders>
            <w:vAlign w:val="center"/>
          </w:tcPr>
          <w:p w:rsidR="002D1A2B" w:rsidRDefault="002D1A2B" w:rsidP="00E506A7">
            <w:pPr>
              <w:tabs>
                <w:tab w:val="left" w:pos="567"/>
              </w:tabs>
              <w:spacing w:line="360" w:lineRule="auto"/>
              <w:jc w:val="center"/>
            </w:pPr>
            <w:r>
              <w:t>9.3</w:t>
            </w:r>
          </w:p>
        </w:tc>
        <w:tc>
          <w:tcPr>
            <w:tcW w:w="1768" w:type="dxa"/>
            <w:tcBorders>
              <w:top w:val="nil"/>
              <w:left w:val="nil"/>
              <w:bottom w:val="nil"/>
              <w:right w:val="nil"/>
            </w:tcBorders>
            <w:vAlign w:val="center"/>
          </w:tcPr>
          <w:p w:rsidR="002D1A2B" w:rsidRDefault="002D1A2B" w:rsidP="00E506A7">
            <w:pPr>
              <w:tabs>
                <w:tab w:val="left" w:pos="567"/>
              </w:tabs>
              <w:spacing w:line="360" w:lineRule="auto"/>
              <w:jc w:val="center"/>
            </w:pPr>
            <w:r>
              <w:t>-72</w:t>
            </w:r>
          </w:p>
        </w:tc>
      </w:tr>
      <w:tr w:rsidR="002D1A2B" w:rsidTr="00E506A7">
        <w:trPr>
          <w:cantSplit/>
          <w:jc w:val="center"/>
        </w:trPr>
        <w:tc>
          <w:tcPr>
            <w:tcW w:w="1528" w:type="dxa"/>
            <w:tcBorders>
              <w:top w:val="nil"/>
              <w:left w:val="nil"/>
              <w:right w:val="nil"/>
            </w:tcBorders>
            <w:vAlign w:val="center"/>
          </w:tcPr>
          <w:p w:rsidR="002D1A2B" w:rsidRDefault="002D1A2B" w:rsidP="00E506A7">
            <w:pPr>
              <w:spacing w:line="360" w:lineRule="auto"/>
              <w:jc w:val="center"/>
            </w:pPr>
            <w:r>
              <w:t>EMI600</w:t>
            </w:r>
          </w:p>
        </w:tc>
        <w:tc>
          <w:tcPr>
            <w:tcW w:w="1767" w:type="dxa"/>
            <w:tcBorders>
              <w:top w:val="nil"/>
              <w:left w:val="nil"/>
              <w:right w:val="single" w:sz="4" w:space="0" w:color="FFFFFF"/>
            </w:tcBorders>
            <w:vAlign w:val="center"/>
          </w:tcPr>
          <w:p w:rsidR="002D1A2B" w:rsidRDefault="002D1A2B" w:rsidP="00E506A7">
            <w:pPr>
              <w:tabs>
                <w:tab w:val="left" w:pos="567"/>
              </w:tabs>
              <w:spacing w:line="360" w:lineRule="auto"/>
              <w:jc w:val="center"/>
            </w:pPr>
            <w:r>
              <w:t>75</w:t>
            </w:r>
          </w:p>
        </w:tc>
        <w:tc>
          <w:tcPr>
            <w:tcW w:w="1768" w:type="dxa"/>
            <w:tcBorders>
              <w:top w:val="nil"/>
              <w:left w:val="nil"/>
              <w:right w:val="nil"/>
            </w:tcBorders>
            <w:vAlign w:val="center"/>
          </w:tcPr>
          <w:p w:rsidR="002D1A2B" w:rsidRDefault="002D1A2B" w:rsidP="00E506A7">
            <w:pPr>
              <w:tabs>
                <w:tab w:val="left" w:pos="567"/>
              </w:tabs>
              <w:spacing w:line="360" w:lineRule="auto"/>
              <w:jc w:val="center"/>
            </w:pPr>
            <w:r>
              <w:t>7.3</w:t>
            </w:r>
          </w:p>
        </w:tc>
        <w:tc>
          <w:tcPr>
            <w:tcW w:w="1768" w:type="dxa"/>
            <w:tcBorders>
              <w:top w:val="nil"/>
              <w:left w:val="nil"/>
              <w:right w:val="nil"/>
            </w:tcBorders>
            <w:vAlign w:val="center"/>
          </w:tcPr>
          <w:p w:rsidR="002D1A2B" w:rsidRDefault="002D1A2B" w:rsidP="00E506A7">
            <w:pPr>
              <w:tabs>
                <w:tab w:val="left" w:pos="567"/>
              </w:tabs>
              <w:spacing w:line="360" w:lineRule="auto"/>
              <w:jc w:val="center"/>
            </w:pPr>
            <w:r>
              <w:t>-55</w:t>
            </w:r>
          </w:p>
        </w:tc>
      </w:tr>
      <w:tr w:rsidR="002D1A2B" w:rsidTr="00E506A7">
        <w:trPr>
          <w:cantSplit/>
          <w:jc w:val="center"/>
        </w:trPr>
        <w:tc>
          <w:tcPr>
            <w:tcW w:w="1528" w:type="dxa"/>
            <w:tcBorders>
              <w:top w:val="nil"/>
              <w:left w:val="nil"/>
              <w:bottom w:val="single" w:sz="4" w:space="0" w:color="auto"/>
              <w:right w:val="nil"/>
            </w:tcBorders>
            <w:vAlign w:val="center"/>
          </w:tcPr>
          <w:p w:rsidR="002D1A2B" w:rsidRDefault="002D1A2B" w:rsidP="00E506A7">
            <w:pPr>
              <w:spacing w:line="360" w:lineRule="auto"/>
              <w:jc w:val="center"/>
            </w:pPr>
            <w:r>
              <w:t>EMI800</w:t>
            </w:r>
          </w:p>
        </w:tc>
        <w:tc>
          <w:tcPr>
            <w:tcW w:w="1767" w:type="dxa"/>
            <w:tcBorders>
              <w:top w:val="nil"/>
              <w:left w:val="nil"/>
              <w:bottom w:val="single" w:sz="4" w:space="0" w:color="auto"/>
              <w:right w:val="single" w:sz="4" w:space="0" w:color="FFFFFF"/>
            </w:tcBorders>
            <w:vAlign w:val="center"/>
          </w:tcPr>
          <w:p w:rsidR="002D1A2B" w:rsidRDefault="002D1A2B" w:rsidP="00E506A7">
            <w:pPr>
              <w:tabs>
                <w:tab w:val="left" w:pos="567"/>
              </w:tabs>
              <w:spacing w:line="360" w:lineRule="auto"/>
              <w:jc w:val="center"/>
            </w:pPr>
            <w:r>
              <w:t>121</w:t>
            </w:r>
          </w:p>
        </w:tc>
        <w:tc>
          <w:tcPr>
            <w:tcW w:w="1768" w:type="dxa"/>
            <w:tcBorders>
              <w:top w:val="nil"/>
              <w:left w:val="nil"/>
              <w:bottom w:val="single" w:sz="4" w:space="0" w:color="auto"/>
              <w:right w:val="nil"/>
            </w:tcBorders>
            <w:vAlign w:val="center"/>
          </w:tcPr>
          <w:p w:rsidR="002D1A2B" w:rsidRDefault="002D1A2B" w:rsidP="00E506A7">
            <w:pPr>
              <w:tabs>
                <w:tab w:val="left" w:pos="567"/>
              </w:tabs>
              <w:spacing w:line="360" w:lineRule="auto"/>
              <w:jc w:val="center"/>
            </w:pPr>
            <w:r>
              <w:t>4.6</w:t>
            </w:r>
          </w:p>
        </w:tc>
        <w:tc>
          <w:tcPr>
            <w:tcW w:w="1768" w:type="dxa"/>
            <w:tcBorders>
              <w:top w:val="nil"/>
              <w:left w:val="nil"/>
              <w:bottom w:val="single" w:sz="4" w:space="0" w:color="auto"/>
              <w:right w:val="nil"/>
            </w:tcBorders>
            <w:vAlign w:val="center"/>
          </w:tcPr>
          <w:p w:rsidR="002D1A2B" w:rsidRDefault="002D1A2B" w:rsidP="00E506A7">
            <w:pPr>
              <w:tabs>
                <w:tab w:val="left" w:pos="567"/>
              </w:tabs>
              <w:spacing w:line="360" w:lineRule="auto"/>
              <w:jc w:val="center"/>
            </w:pPr>
            <w:r>
              <w:t>-71</w:t>
            </w:r>
          </w:p>
        </w:tc>
      </w:tr>
    </w:tbl>
    <w:p w:rsidR="002D1A2B" w:rsidRDefault="002D1A2B" w:rsidP="002D1A2B">
      <w:pPr>
        <w:pStyle w:val="MText"/>
      </w:pPr>
    </w:p>
    <w:p w:rsidR="002D1A2B" w:rsidRDefault="002D1A2B" w:rsidP="002D1A2B">
      <w:pPr>
        <w:pStyle w:val="MHeading1"/>
      </w:pPr>
      <w:r>
        <w:t xml:space="preserve">4. </w:t>
      </w:r>
      <w:r w:rsidRPr="002D1A2B">
        <w:t>Electromechanical characterization</w:t>
      </w:r>
    </w:p>
    <w:p w:rsidR="002D1A2B" w:rsidRDefault="00EE2102" w:rsidP="00EE2102">
      <w:pPr>
        <w:pStyle w:val="MHeading2"/>
      </w:pPr>
      <w:r>
        <w:t>4.1. Modes of electromechanical measurements</w:t>
      </w:r>
    </w:p>
    <w:p w:rsidR="00EE2102" w:rsidRPr="00EE2102" w:rsidRDefault="00EE2102" w:rsidP="00EE2102">
      <w:pPr>
        <w:pStyle w:val="MText"/>
        <w:rPr>
          <w:lang w:val="et-EE"/>
        </w:rPr>
      </w:pPr>
      <w:r w:rsidRPr="00EE2102">
        <w:rPr>
          <w:lang w:val="en-GB"/>
        </w:rPr>
        <w:t xml:space="preserve">The extent of actuation of the actuators in time-domain was detected using a custom-made optical system. </w:t>
      </w:r>
      <w:r w:rsidRPr="00EE2102">
        <w:rPr>
          <w:lang w:val="et-EE"/>
        </w:rPr>
        <w:t>The measurements were performed in two modes:</w:t>
      </w:r>
    </w:p>
    <w:p w:rsidR="00EE2102" w:rsidRPr="00EE2102" w:rsidRDefault="00EE2102" w:rsidP="00EE2102">
      <w:pPr>
        <w:pStyle w:val="MText"/>
        <w:numPr>
          <w:ilvl w:val="0"/>
          <w:numId w:val="46"/>
        </w:numPr>
        <w:rPr>
          <w:lang w:val="et-EE"/>
        </w:rPr>
      </w:pPr>
      <w:r w:rsidRPr="00EE2102">
        <w:rPr>
          <w:lang w:val="et-EE"/>
        </w:rPr>
        <w:t>the constant current charge-discharge process (CC mode);</w:t>
      </w:r>
    </w:p>
    <w:p w:rsidR="00EE2102" w:rsidRPr="00EE2102" w:rsidRDefault="00EE2102" w:rsidP="00EE2102">
      <w:pPr>
        <w:pStyle w:val="MText"/>
        <w:numPr>
          <w:ilvl w:val="0"/>
          <w:numId w:val="46"/>
        </w:numPr>
        <w:rPr>
          <w:lang w:val="et-EE"/>
        </w:rPr>
      </w:pPr>
      <w:r w:rsidRPr="00EE2102">
        <w:rPr>
          <w:lang w:val="et-EE"/>
        </w:rPr>
        <w:t>the current of the actuator is limited and the relatively short period of constant current is followed by a prolonged period of constant potential (CCCP mode).</w:t>
      </w:r>
    </w:p>
    <w:p w:rsidR="00EE2102" w:rsidRDefault="00EE2102" w:rsidP="00EE2102">
      <w:pPr>
        <w:pStyle w:val="MHeading2"/>
      </w:pPr>
      <w:r>
        <w:t>4.2. Experimental setup</w:t>
      </w:r>
    </w:p>
    <w:p w:rsidR="00237036" w:rsidRDefault="00EE2102" w:rsidP="00237036">
      <w:pPr>
        <w:pStyle w:val="MText"/>
      </w:pPr>
      <w:r>
        <w:t>The test cell of the linear actuator is depicted in Fig. 4. It consists of two fundamental parts: the electrochemical actuator and the optical detecting mechanism. The actuator is assembled in a sealed cell. The cell incorporates a spiral spring, compressing the actuator by the force of 100 N. The optical system is mounted on the top of the cell. The mechanical coupling between the actuator and the optical system is implemented by a shifting vertical rod. The movement of the rod is transferred to the moving mirror using a steel eccentric and a lever. This mechanics magnifies the scale of movement of the actuator by 25 times. Further magnification of the scale is performed by a laser beam, reflecting from the mirror and targeted to a distant screen, as depicted in Fig. 5.</w:t>
      </w:r>
    </w:p>
    <w:p w:rsidR="00EE2102" w:rsidRDefault="00237036" w:rsidP="00237036">
      <w:pPr>
        <w:pStyle w:val="MTablecaption"/>
      </w:pPr>
      <w:r>
        <w:rPr>
          <w:b/>
        </w:rPr>
        <w:t>Figure 4.</w:t>
      </w:r>
      <w:r>
        <w:t xml:space="preserve"> </w:t>
      </w:r>
      <w:r w:rsidRPr="00237036">
        <w:t>The linear actuator test cell.</w:t>
      </w:r>
    </w:p>
    <w:p w:rsidR="00237036" w:rsidRDefault="00237036" w:rsidP="00237036">
      <w:pPr>
        <w:pStyle w:val="MFigure"/>
      </w:pPr>
      <w:r>
        <w:rPr>
          <w:b/>
          <w:i/>
          <w:noProof/>
          <w:lang w:val="et-EE" w:eastAsia="et-EE"/>
        </w:rPr>
        <w:lastRenderedPageBreak/>
        <w:drawing>
          <wp:inline distT="0" distB="0" distL="0" distR="0">
            <wp:extent cx="4914900" cy="2381250"/>
            <wp:effectExtent l="19050" t="0" r="0" b="0"/>
            <wp:docPr id="8" name="Picture 7" descr="joonis 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oonis 2a"/>
                    <pic:cNvPicPr>
                      <a:picLocks noChangeAspect="1" noChangeArrowheads="1"/>
                    </pic:cNvPicPr>
                  </pic:nvPicPr>
                  <pic:blipFill>
                    <a:blip r:embed="rId14" cstate="print"/>
                    <a:srcRect/>
                    <a:stretch>
                      <a:fillRect/>
                    </a:stretch>
                  </pic:blipFill>
                  <pic:spPr bwMode="auto">
                    <a:xfrm>
                      <a:off x="0" y="0"/>
                      <a:ext cx="4914900" cy="2381250"/>
                    </a:xfrm>
                    <a:prstGeom prst="rect">
                      <a:avLst/>
                    </a:prstGeom>
                    <a:noFill/>
                    <a:ln w="9525">
                      <a:noFill/>
                      <a:miter lim="800000"/>
                      <a:headEnd/>
                      <a:tailEnd/>
                    </a:ln>
                  </pic:spPr>
                </pic:pic>
              </a:graphicData>
            </a:graphic>
          </wp:inline>
        </w:drawing>
      </w:r>
    </w:p>
    <w:p w:rsidR="006644EB" w:rsidRDefault="006644EB" w:rsidP="00237036">
      <w:pPr>
        <w:pStyle w:val="MFigure"/>
      </w:pPr>
    </w:p>
    <w:p w:rsidR="00237036" w:rsidRDefault="00237036" w:rsidP="00237036">
      <w:pPr>
        <w:pStyle w:val="MText"/>
      </w:pPr>
      <w:r w:rsidRPr="00237036">
        <w:t xml:space="preserve">The described optical system is able to magnify the scale of movement of the linear actuator by thousands of times, depending solely on the distance of the screen. In the course of the experiments, the distance to the screen was </w:t>
      </w:r>
      <w:r>
        <w:t>6.25 m</w:t>
      </w:r>
      <w:r w:rsidRPr="00237036">
        <w:t xml:space="preserve"> and the expansion of the actuator by 1 </w:t>
      </w:r>
      <w:r w:rsidRPr="00237036">
        <w:sym w:font="Symbol" w:char="F06D"/>
      </w:r>
      <w:r w:rsidRPr="00237036">
        <w:t>m was detectable as a displacement of the spot of the laser beam on the screen by 1 cm. The displacement of the spot on the screen was recorded by a firewire camera and the motion was thereafter digitalized using LabView software. Simultaneou</w:t>
      </w:r>
      <w:r>
        <w:t>sly, the electrical parameters - voltage and electric current -</w:t>
      </w:r>
      <w:r w:rsidRPr="00237036">
        <w:t xml:space="preserve"> were recorded using National Instruments PCI-6034 DAQ card and LabView software. The electric current was measured as a voltage drop over the low ohmic resistance R.</w:t>
      </w:r>
    </w:p>
    <w:p w:rsidR="006644EB" w:rsidRDefault="006644EB" w:rsidP="006644EB">
      <w:pPr>
        <w:pStyle w:val="MTablecaption"/>
      </w:pPr>
      <w:r w:rsidRPr="006644EB">
        <w:rPr>
          <w:b/>
        </w:rPr>
        <w:t>Figure 5.</w:t>
      </w:r>
      <w:r>
        <w:t xml:space="preserve"> </w:t>
      </w:r>
      <w:r w:rsidRPr="006644EB">
        <w:t>Experimental setup</w:t>
      </w:r>
    </w:p>
    <w:p w:rsidR="006644EB" w:rsidRDefault="006644EB" w:rsidP="006644EB">
      <w:pPr>
        <w:pStyle w:val="MFigure"/>
      </w:pPr>
      <w:r>
        <w:rPr>
          <w:noProof/>
          <w:lang w:val="et-EE" w:eastAsia="et-EE"/>
        </w:rPr>
        <w:drawing>
          <wp:inline distT="0" distB="0" distL="0" distR="0">
            <wp:extent cx="3343275" cy="2475778"/>
            <wp:effectExtent l="0" t="0" r="9525"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srcRect/>
                    <a:stretch>
                      <a:fillRect/>
                    </a:stretch>
                  </pic:blipFill>
                  <pic:spPr bwMode="auto">
                    <a:xfrm>
                      <a:off x="0" y="0"/>
                      <a:ext cx="3343275" cy="2475778"/>
                    </a:xfrm>
                    <a:prstGeom prst="rect">
                      <a:avLst/>
                    </a:prstGeom>
                    <a:noFill/>
                    <a:ln w="9525">
                      <a:noFill/>
                      <a:miter lim="800000"/>
                      <a:headEnd/>
                      <a:tailEnd/>
                    </a:ln>
                  </pic:spPr>
                </pic:pic>
              </a:graphicData>
            </a:graphic>
          </wp:inline>
        </w:drawing>
      </w:r>
    </w:p>
    <w:p w:rsidR="006644EB" w:rsidRDefault="006644EB" w:rsidP="006644EB">
      <w:pPr>
        <w:pStyle w:val="MFigure"/>
      </w:pPr>
    </w:p>
    <w:p w:rsidR="00237036" w:rsidRDefault="006644EB" w:rsidP="006644EB">
      <w:pPr>
        <w:pStyle w:val="MHeading2"/>
      </w:pPr>
      <w:r>
        <w:t xml:space="preserve">4.3. </w:t>
      </w:r>
      <w:bookmarkStart w:id="0" w:name="_Ref226890936"/>
      <w:r w:rsidRPr="006644EB">
        <w:t>CC mode</w:t>
      </w:r>
      <w:bookmarkEnd w:id="0"/>
      <w:r w:rsidRPr="006644EB">
        <w:t xml:space="preserve"> experiments</w:t>
      </w:r>
    </w:p>
    <w:p w:rsidR="006644EB" w:rsidRDefault="006644EB" w:rsidP="006644EB">
      <w:pPr>
        <w:pStyle w:val="MText"/>
      </w:pPr>
      <w:r>
        <w:t>In this mode</w:t>
      </w:r>
      <w:r w:rsidR="008361BA">
        <w:t>,</w:t>
      </w:r>
      <w:r>
        <w:t xml:space="preserve"> the actuation amplitude was estimated using the constant current charge-discharge process. The amperage of the constant current </w:t>
      </w:r>
      <w:r>
        <w:rPr>
          <w:i/>
        </w:rPr>
        <w:t>I</w:t>
      </w:r>
      <w:r>
        <w:rPr>
          <w:i/>
          <w:vertAlign w:val="subscript"/>
        </w:rPr>
        <w:t>C</w:t>
      </w:r>
      <w:r>
        <w:t xml:space="preserve"> was varied in the range of 10 to 400 mA. The actuation amplitude was recorded simultaneously with charging or discharging current characteristics </w:t>
      </w:r>
      <w:r>
        <w:lastRenderedPageBreak/>
        <w:t>of the actuator. The potential of the electrodes gained some certain predefined values, e.g. 1.5, 2.0, 2.5 and at 3.0 V. The results of the measurements are given in Figure. 6.</w:t>
      </w:r>
    </w:p>
    <w:p w:rsidR="006644EB" w:rsidRDefault="006644EB" w:rsidP="006644EB">
      <w:pPr>
        <w:pStyle w:val="MTablecaption"/>
      </w:pPr>
      <w:r w:rsidRPr="006644EB">
        <w:rPr>
          <w:b/>
        </w:rPr>
        <w:t>Figure 6.</w:t>
      </w:r>
      <w:r w:rsidRPr="006644EB">
        <w:t xml:space="preserve"> The actuation of the actuators at different voltages obtained at </w:t>
      </w:r>
      <w:r w:rsidR="000B4196">
        <w:t xml:space="preserve">charging current </w:t>
      </w:r>
      <w:r w:rsidRPr="006644EB">
        <w:rPr>
          <w:i/>
        </w:rPr>
        <w:t>I</w:t>
      </w:r>
      <w:r w:rsidRPr="006644EB">
        <w:rPr>
          <w:i/>
          <w:vertAlign w:val="subscript"/>
        </w:rPr>
        <w:t>C</w:t>
      </w:r>
      <w:r w:rsidRPr="006644EB">
        <w:t xml:space="preserve"> = 10</w:t>
      </w:r>
      <w:r>
        <w:t xml:space="preserve"> </w:t>
      </w:r>
      <w:r w:rsidRPr="006644EB">
        <w:t>mA.</w:t>
      </w:r>
    </w:p>
    <w:p w:rsidR="006644EB" w:rsidRPr="006644EB" w:rsidRDefault="006644EB" w:rsidP="004C482A">
      <w:pPr>
        <w:pStyle w:val="MFigure"/>
      </w:pPr>
      <w:r>
        <w:rPr>
          <w:noProof/>
          <w:lang w:val="et-EE" w:eastAsia="et-EE"/>
        </w:rPr>
        <w:drawing>
          <wp:inline distT="0" distB="0" distL="0" distR="0">
            <wp:extent cx="2400300" cy="2190750"/>
            <wp:effectExtent l="1905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2400300" cy="2190750"/>
                    </a:xfrm>
                    <a:prstGeom prst="rect">
                      <a:avLst/>
                    </a:prstGeom>
                    <a:noFill/>
                    <a:ln w="9525">
                      <a:noFill/>
                      <a:miter lim="800000"/>
                      <a:headEnd/>
                      <a:tailEnd/>
                    </a:ln>
                  </pic:spPr>
                </pic:pic>
              </a:graphicData>
            </a:graphic>
          </wp:inline>
        </w:drawing>
      </w:r>
    </w:p>
    <w:p w:rsidR="000B4196" w:rsidRPr="000B4196" w:rsidRDefault="000B4196" w:rsidP="000B4196">
      <w:pPr>
        <w:pStyle w:val="MText"/>
        <w:rPr>
          <w:lang w:val="en-GB"/>
        </w:rPr>
      </w:pPr>
      <w:r w:rsidRPr="000B4196">
        <w:rPr>
          <w:lang w:val="en-GB"/>
        </w:rPr>
        <w:t>The graph reveals that the four actuators function almost similarly - the difference between the amplitudes of actuation is less than 20% - at the voltages up to 2.5</w:t>
      </w:r>
      <w:r w:rsidR="008361BA">
        <w:rPr>
          <w:lang w:val="en-GB"/>
        </w:rPr>
        <w:t xml:space="preserve"> </w:t>
      </w:r>
      <w:r w:rsidRPr="000B4196">
        <w:rPr>
          <w:lang w:val="en-GB"/>
        </w:rPr>
        <w:t>V. At higher voltages the dissimilarity increases. At 3.0</w:t>
      </w:r>
      <w:r w:rsidR="008361BA">
        <w:rPr>
          <w:lang w:val="en-GB"/>
        </w:rPr>
        <w:t xml:space="preserve"> </w:t>
      </w:r>
      <w:r w:rsidRPr="000B4196">
        <w:rPr>
          <w:lang w:val="en-GB"/>
        </w:rPr>
        <w:t>V the difference between the actuation of TEA600 and EMI600 is almost twofold.</w:t>
      </w:r>
    </w:p>
    <w:p w:rsidR="00237036" w:rsidRDefault="000B4196" w:rsidP="000B4196">
      <w:pPr>
        <w:pStyle w:val="MText"/>
      </w:pPr>
      <w:r w:rsidRPr="000B4196">
        <w:t xml:space="preserve">In CC mode, the electrical energy </w:t>
      </w:r>
      <w:r w:rsidRPr="000B4196">
        <w:rPr>
          <w:i/>
        </w:rPr>
        <w:t>E</w:t>
      </w:r>
      <w:r w:rsidRPr="000B4196">
        <w:t xml:space="preserve"> is derived from the voltage diagram according to Eq</w:t>
      </w:r>
      <w:r>
        <w:t>uation</w:t>
      </w:r>
      <w:r w:rsidRPr="000B4196">
        <w:t xml:space="preserve"> 4.</w:t>
      </w:r>
    </w:p>
    <w:p w:rsidR="000B4196" w:rsidRDefault="003902E8" w:rsidP="00F42523">
      <w:pPr>
        <w:pStyle w:val="MFigure"/>
        <w:jc w:val="right"/>
      </w:pPr>
      <m:oMath>
        <m:r>
          <w:rPr>
            <w:rFonts w:ascii="Cambria Math" w:hAnsi="Cambria Math"/>
          </w:rPr>
          <m:t>E</m:t>
        </m:r>
        <m:r>
          <m:rPr>
            <m:sty m:val="p"/>
          </m:rPr>
          <w:rPr>
            <w:rFonts w:ascii="Cambria Math" w:hAnsi="Cambria Math"/>
          </w:rPr>
          <m:t>=</m:t>
        </m:r>
        <m:nary>
          <m:naryPr>
            <m:limLoc m:val="subSup"/>
            <m:ctrlPr>
              <w:rPr>
                <w:rFonts w:ascii="Cambria Math" w:hAnsi="Cambria Math"/>
              </w:rPr>
            </m:ctrlPr>
          </m:naryPr>
          <m:sub>
            <m:sSub>
              <m:sSubPr>
                <m:ctrlPr>
                  <w:rPr>
                    <w:rFonts w:ascii="Cambria Math" w:hAnsi="Cambria Math"/>
                  </w:rPr>
                </m:ctrlPr>
              </m:sSubPr>
              <m:e>
                <m:r>
                  <w:rPr>
                    <w:rFonts w:ascii="Cambria Math" w:hAnsi="Cambria Math"/>
                  </w:rPr>
                  <m:t>t</m:t>
                </m:r>
              </m:e>
              <m:sub>
                <m:r>
                  <m:rPr>
                    <m:sty m:val="p"/>
                  </m:rPr>
                  <w:rPr>
                    <w:rFonts w:ascii="Cambria Math" w:hAnsi="Cambria Math"/>
                  </w:rPr>
                  <m:t>1</m:t>
                </m:r>
              </m:sub>
            </m:sSub>
          </m:sub>
          <m:sup>
            <m:sSub>
              <m:sSubPr>
                <m:ctrlPr>
                  <w:rPr>
                    <w:rFonts w:ascii="Cambria Math" w:hAnsi="Cambria Math"/>
                  </w:rPr>
                </m:ctrlPr>
              </m:sSubPr>
              <m:e>
                <m:r>
                  <w:rPr>
                    <w:rFonts w:ascii="Cambria Math" w:hAnsi="Cambria Math"/>
                  </w:rPr>
                  <m:t>t</m:t>
                </m:r>
              </m:e>
              <m:sub>
                <m:r>
                  <m:rPr>
                    <m:sty m:val="p"/>
                  </m:rPr>
                  <w:rPr>
                    <w:rFonts w:ascii="Cambria Math" w:hAnsi="Cambria Math"/>
                  </w:rPr>
                  <m:t>2</m:t>
                </m:r>
              </m:sub>
            </m:sSub>
          </m:sup>
          <m:e>
            <m:r>
              <w:rPr>
                <w:rFonts w:ascii="Cambria Math" w:hAnsi="Cambria Math"/>
              </w:rPr>
              <m:t>U</m:t>
            </m:r>
            <m:d>
              <m:dPr>
                <m:ctrlPr>
                  <w:rPr>
                    <w:rFonts w:ascii="Cambria Math" w:hAnsi="Cambria Math"/>
                  </w:rPr>
                </m:ctrlPr>
              </m:dPr>
              <m:e>
                <m:r>
                  <w:rPr>
                    <w:rFonts w:ascii="Cambria Math" w:hAnsi="Cambria Math"/>
                  </w:rPr>
                  <m:t>t</m:t>
                </m:r>
              </m:e>
            </m:d>
            <m:r>
              <w:rPr>
                <w:rFonts w:ascii="Cambria Math" w:hAnsi="Cambria Math"/>
              </w:rPr>
              <m:t>dt</m:t>
            </m:r>
          </m:e>
        </m:nary>
      </m:oMath>
      <w:r w:rsidR="00F42523">
        <w:tab/>
      </w:r>
      <w:r w:rsidR="00F42523">
        <w:tab/>
      </w:r>
      <w:r w:rsidR="00F42523">
        <w:tab/>
      </w:r>
      <w:r w:rsidR="00F42523">
        <w:tab/>
      </w:r>
      <w:r w:rsidR="00F42523">
        <w:tab/>
      </w:r>
      <w:r w:rsidR="00F42523">
        <w:tab/>
      </w:r>
      <w:r w:rsidR="007579BB">
        <w:t>(4)</w:t>
      </w:r>
    </w:p>
    <w:p w:rsidR="004C482A" w:rsidRDefault="004C482A" w:rsidP="004C482A">
      <w:pPr>
        <w:pStyle w:val="MText"/>
      </w:pPr>
      <w:r w:rsidRPr="004C482A">
        <w:t xml:space="preserve">It is possible to evaluate the energy loss </w:t>
      </w:r>
      <w:r w:rsidRPr="004C482A">
        <w:rPr>
          <w:i/>
        </w:rPr>
        <w:t>E</w:t>
      </w:r>
      <w:r w:rsidRPr="004C482A">
        <w:rPr>
          <w:i/>
          <w:vertAlign w:val="subscript"/>
        </w:rPr>
        <w:t xml:space="preserve">loss </w:t>
      </w:r>
      <w:r w:rsidRPr="004C482A">
        <w:rPr>
          <w:i/>
        </w:rPr>
        <w:t>= E</w:t>
      </w:r>
      <w:r w:rsidRPr="004C482A">
        <w:rPr>
          <w:i/>
          <w:vertAlign w:val="subscript"/>
        </w:rPr>
        <w:t xml:space="preserve">out </w:t>
      </w:r>
      <w:r w:rsidRPr="004C482A">
        <w:rPr>
          <w:i/>
        </w:rPr>
        <w:t>- E</w:t>
      </w:r>
      <w:r w:rsidRPr="004C482A">
        <w:rPr>
          <w:i/>
          <w:vertAlign w:val="subscript"/>
        </w:rPr>
        <w:t>in</w:t>
      </w:r>
      <w:r w:rsidRPr="004C482A">
        <w:t xml:space="preserve"> of the actuators during a single working cycle by defining the electrical input energy (</w:t>
      </w:r>
      <w:r w:rsidRPr="004C482A">
        <w:rPr>
          <w:i/>
        </w:rPr>
        <w:t>E</w:t>
      </w:r>
      <w:r w:rsidRPr="004C482A">
        <w:rPr>
          <w:i/>
          <w:vertAlign w:val="subscript"/>
        </w:rPr>
        <w:t>in</w:t>
      </w:r>
      <w:r w:rsidRPr="004C482A">
        <w:t>) of the actuator as the energy of its charging current and defining the output energy (</w:t>
      </w:r>
      <w:r w:rsidRPr="004C482A">
        <w:rPr>
          <w:i/>
        </w:rPr>
        <w:t>E</w:t>
      </w:r>
      <w:r w:rsidRPr="004C482A">
        <w:rPr>
          <w:i/>
          <w:vertAlign w:val="subscript"/>
        </w:rPr>
        <w:t>out</w:t>
      </w:r>
      <w:r w:rsidRPr="004C482A">
        <w:t>) as the energy of discharging current. The calculated energies at different values of charge-discharge currents are given in Table 4. The loss of energy is contingent on charging, relocating the ions, and probably on the microscopic dimensional changes. Another possible reason of energy loss can be the ongoing faradic process. However, the impedance spectroscopy of the actuators did not reveal any of it.</w:t>
      </w:r>
    </w:p>
    <w:p w:rsidR="004C482A" w:rsidRDefault="004C482A" w:rsidP="004C482A">
      <w:pPr>
        <w:pStyle w:val="MTablecaption"/>
      </w:pPr>
      <w:r w:rsidRPr="004C482A">
        <w:rPr>
          <w:b/>
        </w:rPr>
        <w:t>Table 4.</w:t>
      </w:r>
      <w:r>
        <w:t xml:space="preserve"> Electrical energies (J) and maximum actuation of the linear actuators </w:t>
      </w:r>
      <w:r w:rsidR="00BE5264">
        <w:t>(</w:t>
      </w:r>
      <w:r w:rsidR="00BE5264">
        <w:sym w:font="Symbol" w:char="F06D"/>
      </w:r>
      <w:r w:rsidR="00BE5264">
        <w:t xml:space="preserve">m) </w:t>
      </w:r>
      <w:r>
        <w:t xml:space="preserve">at different amperages of the charge-discharge current </w:t>
      </w:r>
      <w:r>
        <w:rPr>
          <w:i/>
        </w:rPr>
        <w:t>(</w:t>
      </w:r>
      <w:r>
        <w:rPr>
          <w:rFonts w:ascii="Symbol" w:hAnsi="Symbol"/>
          <w:i/>
        </w:rPr>
        <w:t></w:t>
      </w:r>
      <w:r>
        <w:rPr>
          <w:i/>
        </w:rPr>
        <w:t>U</w:t>
      </w:r>
      <w:r>
        <w:t>=3.0 V).</w:t>
      </w:r>
    </w:p>
    <w:tbl>
      <w:tblPr>
        <w:tblW w:w="0" w:type="auto"/>
        <w:jc w:val="center"/>
        <w:tblLayout w:type="fixed"/>
        <w:tblCellMar>
          <w:left w:w="57" w:type="dxa"/>
          <w:right w:w="57" w:type="dxa"/>
        </w:tblCellMar>
        <w:tblLook w:val="01E0"/>
      </w:tblPr>
      <w:tblGrid>
        <w:gridCol w:w="1061"/>
        <w:gridCol w:w="654"/>
        <w:gridCol w:w="654"/>
        <w:gridCol w:w="630"/>
        <w:gridCol w:w="1141"/>
        <w:gridCol w:w="654"/>
        <w:gridCol w:w="654"/>
        <w:gridCol w:w="630"/>
        <w:gridCol w:w="1141"/>
      </w:tblGrid>
      <w:tr w:rsidR="004C482A" w:rsidTr="00E506A7">
        <w:trPr>
          <w:jc w:val="center"/>
        </w:trPr>
        <w:tc>
          <w:tcPr>
            <w:tcW w:w="1061"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I</w:t>
            </w:r>
            <w:r>
              <w:rPr>
                <w:i/>
                <w:vertAlign w:val="subscript"/>
              </w:rPr>
              <w:t>C</w:t>
            </w:r>
          </w:p>
        </w:tc>
        <w:tc>
          <w:tcPr>
            <w:tcW w:w="3079" w:type="dxa"/>
            <w:gridSpan w:val="4"/>
            <w:tcBorders>
              <w:top w:val="single" w:sz="4" w:space="0" w:color="000000"/>
              <w:bottom w:val="single" w:sz="4" w:space="0" w:color="000000"/>
            </w:tcBorders>
            <w:vAlign w:val="center"/>
          </w:tcPr>
          <w:p w:rsidR="004C482A" w:rsidRDefault="004C482A" w:rsidP="00E506A7">
            <w:pPr>
              <w:keepNext/>
              <w:spacing w:line="360" w:lineRule="auto"/>
              <w:jc w:val="center"/>
            </w:pPr>
            <w:r>
              <w:t>70 mA</w:t>
            </w:r>
          </w:p>
        </w:tc>
        <w:tc>
          <w:tcPr>
            <w:tcW w:w="3079" w:type="dxa"/>
            <w:gridSpan w:val="4"/>
            <w:tcBorders>
              <w:top w:val="single" w:sz="4" w:space="0" w:color="000000"/>
              <w:bottom w:val="single" w:sz="4" w:space="0" w:color="000000"/>
            </w:tcBorders>
            <w:vAlign w:val="center"/>
          </w:tcPr>
          <w:p w:rsidR="004C482A" w:rsidRDefault="004C482A" w:rsidP="00E506A7">
            <w:pPr>
              <w:keepNext/>
              <w:spacing w:line="360" w:lineRule="auto"/>
              <w:jc w:val="center"/>
            </w:pPr>
            <w:r>
              <w:t>300 mA</w:t>
            </w:r>
          </w:p>
        </w:tc>
      </w:tr>
      <w:tr w:rsidR="004C482A" w:rsidTr="004C482A">
        <w:trPr>
          <w:jc w:val="center"/>
        </w:trPr>
        <w:tc>
          <w:tcPr>
            <w:tcW w:w="1061" w:type="dxa"/>
            <w:tcBorders>
              <w:top w:val="single" w:sz="4" w:space="0" w:color="000000"/>
              <w:bottom w:val="single" w:sz="4" w:space="0" w:color="000000"/>
            </w:tcBorders>
            <w:vAlign w:val="center"/>
          </w:tcPr>
          <w:p w:rsidR="004C482A" w:rsidRDefault="004C482A" w:rsidP="00E506A7">
            <w:pPr>
              <w:keepNext/>
              <w:spacing w:line="360" w:lineRule="auto"/>
              <w:jc w:val="center"/>
            </w:pP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in</w:t>
            </w:r>
            <w:r>
              <w:rPr>
                <w:i/>
                <w:vertAlign w:val="subscript"/>
              </w:rPr>
              <w:br/>
            </w:r>
            <w:r>
              <w:t>(J)</w:t>
            </w: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out</w:t>
            </w:r>
            <w:r>
              <w:rPr>
                <w:i/>
                <w:vertAlign w:val="subscript"/>
              </w:rPr>
              <w:br/>
            </w:r>
            <w:r>
              <w:t>(J)</w:t>
            </w:r>
          </w:p>
        </w:tc>
        <w:tc>
          <w:tcPr>
            <w:tcW w:w="630"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loss</w:t>
            </w:r>
            <w:r>
              <w:rPr>
                <w:i/>
                <w:vertAlign w:val="subscript"/>
              </w:rPr>
              <w:br/>
            </w:r>
            <w:r>
              <w:t>(J)</w:t>
            </w:r>
          </w:p>
        </w:tc>
        <w:tc>
          <w:tcPr>
            <w:tcW w:w="1141" w:type="dxa"/>
            <w:tcBorders>
              <w:top w:val="single" w:sz="4" w:space="0" w:color="000000"/>
              <w:bottom w:val="single" w:sz="4" w:space="0" w:color="000000"/>
            </w:tcBorders>
            <w:vAlign w:val="center"/>
          </w:tcPr>
          <w:p w:rsidR="004C482A" w:rsidRDefault="004C482A" w:rsidP="00E506A7">
            <w:pPr>
              <w:keepNext/>
              <w:spacing w:line="360" w:lineRule="auto"/>
              <w:jc w:val="center"/>
              <w:rPr>
                <w:i/>
              </w:rPr>
            </w:pPr>
            <w:r>
              <w:rPr>
                <w:i/>
              </w:rPr>
              <w:t>actuation</w:t>
            </w:r>
            <w:r>
              <w:rPr>
                <w:i/>
              </w:rPr>
              <w:br/>
            </w:r>
            <w:r>
              <w:t>(</w:t>
            </w:r>
            <w:r>
              <w:sym w:font="Symbol" w:char="F06D"/>
            </w:r>
            <w:r>
              <w:t>m)</w:t>
            </w: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in</w:t>
            </w:r>
            <w:r>
              <w:rPr>
                <w:i/>
                <w:vertAlign w:val="subscript"/>
              </w:rPr>
              <w:br/>
            </w:r>
            <w:r>
              <w:t>(J)</w:t>
            </w: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out</w:t>
            </w:r>
            <w:r>
              <w:rPr>
                <w:i/>
                <w:vertAlign w:val="subscript"/>
              </w:rPr>
              <w:br/>
            </w:r>
            <w:r>
              <w:t>(J)</w:t>
            </w:r>
          </w:p>
        </w:tc>
        <w:tc>
          <w:tcPr>
            <w:tcW w:w="630"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loss</w:t>
            </w:r>
            <w:r>
              <w:rPr>
                <w:i/>
                <w:vertAlign w:val="subscript"/>
              </w:rPr>
              <w:br/>
            </w:r>
            <w:r>
              <w:t>(J)</w:t>
            </w:r>
          </w:p>
        </w:tc>
        <w:tc>
          <w:tcPr>
            <w:tcW w:w="1141" w:type="dxa"/>
            <w:tcBorders>
              <w:top w:val="single" w:sz="4" w:space="0" w:color="000000"/>
              <w:bottom w:val="single" w:sz="4" w:space="0" w:color="000000"/>
            </w:tcBorders>
            <w:vAlign w:val="center"/>
          </w:tcPr>
          <w:p w:rsidR="004C482A" w:rsidRDefault="004C482A" w:rsidP="00E506A7">
            <w:pPr>
              <w:keepNext/>
              <w:spacing w:line="360" w:lineRule="auto"/>
              <w:jc w:val="center"/>
              <w:rPr>
                <w:i/>
              </w:rPr>
            </w:pPr>
            <w:r>
              <w:rPr>
                <w:i/>
              </w:rPr>
              <w:t>actuation</w:t>
            </w:r>
            <w:r>
              <w:rPr>
                <w:i/>
              </w:rPr>
              <w:br/>
            </w:r>
            <w:r>
              <w:t>(</w:t>
            </w:r>
            <w:r>
              <w:sym w:font="Symbol" w:char="F06D"/>
            </w:r>
            <w:r>
              <w:t>m)</w:t>
            </w:r>
          </w:p>
        </w:tc>
      </w:tr>
      <w:tr w:rsidR="004C482A" w:rsidTr="00E506A7">
        <w:trPr>
          <w:jc w:val="center"/>
        </w:trPr>
        <w:tc>
          <w:tcPr>
            <w:tcW w:w="1061" w:type="dxa"/>
            <w:tcBorders>
              <w:top w:val="single" w:sz="4" w:space="0" w:color="000000"/>
            </w:tcBorders>
            <w:vAlign w:val="center"/>
          </w:tcPr>
          <w:p w:rsidR="004C482A" w:rsidRDefault="004C482A" w:rsidP="00E506A7">
            <w:pPr>
              <w:keepNext/>
              <w:spacing w:line="360" w:lineRule="auto"/>
              <w:jc w:val="center"/>
            </w:pPr>
            <w:r>
              <w:t>TEA600</w:t>
            </w:r>
          </w:p>
        </w:tc>
        <w:tc>
          <w:tcPr>
            <w:tcW w:w="654" w:type="dxa"/>
            <w:tcBorders>
              <w:top w:val="single" w:sz="4" w:space="0" w:color="000000"/>
            </w:tcBorders>
            <w:vAlign w:val="center"/>
          </w:tcPr>
          <w:p w:rsidR="004C482A" w:rsidRDefault="004C482A" w:rsidP="00E506A7">
            <w:pPr>
              <w:keepNext/>
              <w:spacing w:line="360" w:lineRule="auto"/>
              <w:jc w:val="center"/>
            </w:pPr>
            <w:r>
              <w:t>15</w:t>
            </w:r>
          </w:p>
        </w:tc>
        <w:tc>
          <w:tcPr>
            <w:tcW w:w="654" w:type="dxa"/>
            <w:tcBorders>
              <w:top w:val="single" w:sz="4" w:space="0" w:color="000000"/>
            </w:tcBorders>
            <w:vAlign w:val="center"/>
          </w:tcPr>
          <w:p w:rsidR="004C482A" w:rsidRDefault="004C482A" w:rsidP="00E506A7">
            <w:pPr>
              <w:keepNext/>
              <w:spacing w:line="360" w:lineRule="auto"/>
              <w:jc w:val="center"/>
            </w:pPr>
            <w:r>
              <w:t>11.9</w:t>
            </w:r>
          </w:p>
        </w:tc>
        <w:tc>
          <w:tcPr>
            <w:tcW w:w="630" w:type="dxa"/>
            <w:tcBorders>
              <w:top w:val="single" w:sz="4" w:space="0" w:color="000000"/>
            </w:tcBorders>
            <w:vAlign w:val="center"/>
          </w:tcPr>
          <w:p w:rsidR="004C482A" w:rsidRDefault="004C482A" w:rsidP="00E506A7">
            <w:pPr>
              <w:keepNext/>
              <w:spacing w:line="360" w:lineRule="auto"/>
              <w:jc w:val="center"/>
            </w:pPr>
            <w:r>
              <w:t>3.1</w:t>
            </w:r>
          </w:p>
        </w:tc>
        <w:tc>
          <w:tcPr>
            <w:tcW w:w="1141" w:type="dxa"/>
            <w:tcBorders>
              <w:top w:val="single" w:sz="4" w:space="0" w:color="000000"/>
            </w:tcBorders>
            <w:vAlign w:val="center"/>
          </w:tcPr>
          <w:p w:rsidR="004C482A" w:rsidRDefault="004C482A" w:rsidP="00E506A7">
            <w:pPr>
              <w:keepNext/>
              <w:spacing w:line="360" w:lineRule="auto"/>
              <w:jc w:val="center"/>
            </w:pPr>
            <w:r>
              <w:t>4.0</w:t>
            </w:r>
          </w:p>
        </w:tc>
        <w:tc>
          <w:tcPr>
            <w:tcW w:w="654" w:type="dxa"/>
            <w:tcBorders>
              <w:top w:val="single" w:sz="4" w:space="0" w:color="000000"/>
            </w:tcBorders>
            <w:vAlign w:val="center"/>
          </w:tcPr>
          <w:p w:rsidR="004C482A" w:rsidRDefault="004C482A" w:rsidP="00E506A7">
            <w:pPr>
              <w:keepNext/>
              <w:spacing w:line="360" w:lineRule="auto"/>
              <w:jc w:val="center"/>
            </w:pPr>
            <w:r>
              <w:t>12.2</w:t>
            </w:r>
          </w:p>
        </w:tc>
        <w:tc>
          <w:tcPr>
            <w:tcW w:w="654" w:type="dxa"/>
            <w:tcBorders>
              <w:top w:val="single" w:sz="4" w:space="0" w:color="000000"/>
            </w:tcBorders>
            <w:vAlign w:val="center"/>
          </w:tcPr>
          <w:p w:rsidR="004C482A" w:rsidRDefault="004C482A" w:rsidP="00E506A7">
            <w:pPr>
              <w:keepNext/>
              <w:spacing w:line="360" w:lineRule="auto"/>
              <w:jc w:val="center"/>
            </w:pPr>
            <w:r>
              <w:t>6.6</w:t>
            </w:r>
          </w:p>
        </w:tc>
        <w:tc>
          <w:tcPr>
            <w:tcW w:w="630" w:type="dxa"/>
            <w:tcBorders>
              <w:top w:val="single" w:sz="4" w:space="0" w:color="000000"/>
            </w:tcBorders>
            <w:vAlign w:val="center"/>
          </w:tcPr>
          <w:p w:rsidR="004C482A" w:rsidRDefault="004C482A" w:rsidP="00E506A7">
            <w:pPr>
              <w:keepNext/>
              <w:spacing w:line="360" w:lineRule="auto"/>
              <w:jc w:val="center"/>
            </w:pPr>
            <w:r>
              <w:t>5.6</w:t>
            </w:r>
          </w:p>
        </w:tc>
        <w:tc>
          <w:tcPr>
            <w:tcW w:w="1141" w:type="dxa"/>
            <w:tcBorders>
              <w:top w:val="single" w:sz="4" w:space="0" w:color="000000"/>
            </w:tcBorders>
            <w:vAlign w:val="center"/>
          </w:tcPr>
          <w:p w:rsidR="004C482A" w:rsidRDefault="004C482A" w:rsidP="00E506A7">
            <w:pPr>
              <w:keepNext/>
              <w:spacing w:line="360" w:lineRule="auto"/>
              <w:jc w:val="center"/>
            </w:pPr>
            <w:r>
              <w:t>2.4</w:t>
            </w:r>
          </w:p>
        </w:tc>
      </w:tr>
      <w:tr w:rsidR="004C482A" w:rsidTr="00E506A7">
        <w:trPr>
          <w:jc w:val="center"/>
        </w:trPr>
        <w:tc>
          <w:tcPr>
            <w:tcW w:w="1061" w:type="dxa"/>
            <w:vAlign w:val="center"/>
          </w:tcPr>
          <w:p w:rsidR="004C482A" w:rsidRDefault="004C482A" w:rsidP="00E506A7">
            <w:pPr>
              <w:keepNext/>
              <w:spacing w:line="360" w:lineRule="auto"/>
              <w:jc w:val="center"/>
            </w:pPr>
            <w:r>
              <w:t>TEA800</w:t>
            </w:r>
          </w:p>
        </w:tc>
        <w:tc>
          <w:tcPr>
            <w:tcW w:w="654" w:type="dxa"/>
            <w:vAlign w:val="center"/>
          </w:tcPr>
          <w:p w:rsidR="004C482A" w:rsidRDefault="004C482A" w:rsidP="00E506A7">
            <w:pPr>
              <w:keepNext/>
              <w:spacing w:line="360" w:lineRule="auto"/>
              <w:jc w:val="center"/>
            </w:pPr>
            <w:r>
              <w:t>25</w:t>
            </w:r>
          </w:p>
        </w:tc>
        <w:tc>
          <w:tcPr>
            <w:tcW w:w="654" w:type="dxa"/>
            <w:vAlign w:val="center"/>
          </w:tcPr>
          <w:p w:rsidR="004C482A" w:rsidRDefault="004C482A" w:rsidP="00E506A7">
            <w:pPr>
              <w:keepNext/>
              <w:spacing w:line="360" w:lineRule="auto"/>
              <w:jc w:val="center"/>
            </w:pPr>
            <w:r>
              <w:t>16</w:t>
            </w:r>
          </w:p>
        </w:tc>
        <w:tc>
          <w:tcPr>
            <w:tcW w:w="630" w:type="dxa"/>
            <w:vAlign w:val="center"/>
          </w:tcPr>
          <w:p w:rsidR="004C482A" w:rsidRDefault="004C482A" w:rsidP="00E506A7">
            <w:pPr>
              <w:keepNext/>
              <w:spacing w:line="360" w:lineRule="auto"/>
              <w:jc w:val="center"/>
            </w:pPr>
            <w:r>
              <w:t>9</w:t>
            </w:r>
          </w:p>
        </w:tc>
        <w:tc>
          <w:tcPr>
            <w:tcW w:w="1141" w:type="dxa"/>
            <w:vAlign w:val="center"/>
          </w:tcPr>
          <w:p w:rsidR="004C482A" w:rsidRDefault="004C482A" w:rsidP="00E506A7">
            <w:pPr>
              <w:keepNext/>
              <w:spacing w:line="360" w:lineRule="auto"/>
              <w:jc w:val="center"/>
            </w:pPr>
            <w:r>
              <w:t>8.0</w:t>
            </w:r>
          </w:p>
        </w:tc>
        <w:tc>
          <w:tcPr>
            <w:tcW w:w="654" w:type="dxa"/>
            <w:vAlign w:val="center"/>
          </w:tcPr>
          <w:p w:rsidR="004C482A" w:rsidRDefault="004C482A" w:rsidP="00E506A7">
            <w:pPr>
              <w:keepNext/>
              <w:spacing w:line="360" w:lineRule="auto"/>
              <w:jc w:val="center"/>
            </w:pPr>
            <w:r>
              <w:t>18.9</w:t>
            </w:r>
          </w:p>
        </w:tc>
        <w:tc>
          <w:tcPr>
            <w:tcW w:w="654" w:type="dxa"/>
            <w:vAlign w:val="center"/>
          </w:tcPr>
          <w:p w:rsidR="004C482A" w:rsidRDefault="004C482A" w:rsidP="00E506A7">
            <w:pPr>
              <w:keepNext/>
              <w:spacing w:line="360" w:lineRule="auto"/>
              <w:jc w:val="center"/>
            </w:pPr>
            <w:r>
              <w:t>11.3</w:t>
            </w:r>
          </w:p>
        </w:tc>
        <w:tc>
          <w:tcPr>
            <w:tcW w:w="630" w:type="dxa"/>
            <w:vAlign w:val="center"/>
          </w:tcPr>
          <w:p w:rsidR="004C482A" w:rsidRDefault="004C482A" w:rsidP="00E506A7">
            <w:pPr>
              <w:keepNext/>
              <w:spacing w:line="360" w:lineRule="auto"/>
              <w:jc w:val="center"/>
            </w:pPr>
            <w:r>
              <w:t>7.6</w:t>
            </w:r>
          </w:p>
        </w:tc>
        <w:tc>
          <w:tcPr>
            <w:tcW w:w="1141" w:type="dxa"/>
            <w:vAlign w:val="center"/>
          </w:tcPr>
          <w:p w:rsidR="004C482A" w:rsidRDefault="004C482A" w:rsidP="00E506A7">
            <w:pPr>
              <w:keepNext/>
              <w:spacing w:line="360" w:lineRule="auto"/>
              <w:jc w:val="center"/>
            </w:pPr>
            <w:r>
              <w:t>5.0</w:t>
            </w:r>
          </w:p>
        </w:tc>
      </w:tr>
      <w:tr w:rsidR="004C482A" w:rsidTr="0008719B">
        <w:trPr>
          <w:jc w:val="center"/>
        </w:trPr>
        <w:tc>
          <w:tcPr>
            <w:tcW w:w="1061" w:type="dxa"/>
            <w:vAlign w:val="center"/>
          </w:tcPr>
          <w:p w:rsidR="004C482A" w:rsidRDefault="004C482A" w:rsidP="00E506A7">
            <w:pPr>
              <w:spacing w:line="360" w:lineRule="auto"/>
              <w:jc w:val="center"/>
            </w:pPr>
            <w:r>
              <w:t>EMI600</w:t>
            </w:r>
          </w:p>
        </w:tc>
        <w:tc>
          <w:tcPr>
            <w:tcW w:w="654" w:type="dxa"/>
            <w:vAlign w:val="center"/>
          </w:tcPr>
          <w:p w:rsidR="004C482A" w:rsidRDefault="004C482A" w:rsidP="00E506A7">
            <w:pPr>
              <w:spacing w:line="360" w:lineRule="auto"/>
              <w:jc w:val="center"/>
            </w:pPr>
            <w:r>
              <w:t>18.9</w:t>
            </w:r>
          </w:p>
        </w:tc>
        <w:tc>
          <w:tcPr>
            <w:tcW w:w="654" w:type="dxa"/>
            <w:vAlign w:val="center"/>
          </w:tcPr>
          <w:p w:rsidR="004C482A" w:rsidRDefault="004C482A" w:rsidP="00E506A7">
            <w:pPr>
              <w:spacing w:line="360" w:lineRule="auto"/>
              <w:jc w:val="center"/>
            </w:pPr>
            <w:r>
              <w:t>11.5</w:t>
            </w:r>
          </w:p>
        </w:tc>
        <w:tc>
          <w:tcPr>
            <w:tcW w:w="630" w:type="dxa"/>
            <w:vAlign w:val="center"/>
          </w:tcPr>
          <w:p w:rsidR="004C482A" w:rsidRDefault="004C482A" w:rsidP="00E506A7">
            <w:pPr>
              <w:spacing w:line="360" w:lineRule="auto"/>
              <w:jc w:val="center"/>
            </w:pPr>
            <w:r>
              <w:t>7.4</w:t>
            </w:r>
          </w:p>
        </w:tc>
        <w:tc>
          <w:tcPr>
            <w:tcW w:w="1141" w:type="dxa"/>
            <w:vAlign w:val="center"/>
          </w:tcPr>
          <w:p w:rsidR="004C482A" w:rsidRDefault="004C482A" w:rsidP="00E506A7">
            <w:pPr>
              <w:spacing w:line="360" w:lineRule="auto"/>
              <w:jc w:val="center"/>
            </w:pPr>
            <w:r>
              <w:t>7.2</w:t>
            </w:r>
          </w:p>
        </w:tc>
        <w:tc>
          <w:tcPr>
            <w:tcW w:w="654" w:type="dxa"/>
            <w:vAlign w:val="center"/>
          </w:tcPr>
          <w:p w:rsidR="004C482A" w:rsidRDefault="004C482A" w:rsidP="00E506A7">
            <w:pPr>
              <w:spacing w:line="360" w:lineRule="auto"/>
              <w:jc w:val="center"/>
            </w:pPr>
            <w:r>
              <w:t>8.3</w:t>
            </w:r>
          </w:p>
        </w:tc>
        <w:tc>
          <w:tcPr>
            <w:tcW w:w="654" w:type="dxa"/>
            <w:vAlign w:val="center"/>
          </w:tcPr>
          <w:p w:rsidR="004C482A" w:rsidRDefault="004C482A" w:rsidP="00E506A7">
            <w:pPr>
              <w:spacing w:line="360" w:lineRule="auto"/>
              <w:jc w:val="center"/>
            </w:pPr>
            <w:r>
              <w:t>2.8</w:t>
            </w:r>
          </w:p>
        </w:tc>
        <w:tc>
          <w:tcPr>
            <w:tcW w:w="630" w:type="dxa"/>
            <w:vAlign w:val="center"/>
          </w:tcPr>
          <w:p w:rsidR="004C482A" w:rsidRDefault="004C482A" w:rsidP="00E506A7">
            <w:pPr>
              <w:spacing w:line="360" w:lineRule="auto"/>
              <w:jc w:val="center"/>
            </w:pPr>
            <w:r>
              <w:t>5.5</w:t>
            </w:r>
          </w:p>
        </w:tc>
        <w:tc>
          <w:tcPr>
            <w:tcW w:w="1141" w:type="dxa"/>
            <w:vAlign w:val="center"/>
          </w:tcPr>
          <w:p w:rsidR="004C482A" w:rsidRDefault="004C482A" w:rsidP="00E506A7">
            <w:pPr>
              <w:spacing w:line="360" w:lineRule="auto"/>
              <w:jc w:val="center"/>
            </w:pPr>
            <w:r>
              <w:t>1.5</w:t>
            </w:r>
          </w:p>
        </w:tc>
      </w:tr>
      <w:tr w:rsidR="004C482A" w:rsidTr="0008719B">
        <w:trPr>
          <w:jc w:val="center"/>
        </w:trPr>
        <w:tc>
          <w:tcPr>
            <w:tcW w:w="1061" w:type="dxa"/>
            <w:vAlign w:val="center"/>
          </w:tcPr>
          <w:p w:rsidR="004C482A" w:rsidRDefault="004C482A" w:rsidP="00E506A7">
            <w:pPr>
              <w:spacing w:line="360" w:lineRule="auto"/>
              <w:jc w:val="center"/>
            </w:pPr>
            <w:r>
              <w:t>EMI800</w:t>
            </w:r>
          </w:p>
        </w:tc>
        <w:tc>
          <w:tcPr>
            <w:tcW w:w="654" w:type="dxa"/>
            <w:vAlign w:val="center"/>
          </w:tcPr>
          <w:p w:rsidR="004C482A" w:rsidRDefault="004C482A" w:rsidP="00E506A7">
            <w:pPr>
              <w:spacing w:line="360" w:lineRule="auto"/>
              <w:jc w:val="center"/>
            </w:pPr>
            <w:r>
              <w:t>25</w:t>
            </w:r>
          </w:p>
        </w:tc>
        <w:tc>
          <w:tcPr>
            <w:tcW w:w="654" w:type="dxa"/>
            <w:vAlign w:val="center"/>
          </w:tcPr>
          <w:p w:rsidR="004C482A" w:rsidRDefault="004C482A" w:rsidP="00E506A7">
            <w:pPr>
              <w:spacing w:line="360" w:lineRule="auto"/>
              <w:jc w:val="center"/>
            </w:pPr>
            <w:r>
              <w:t>19.8</w:t>
            </w:r>
          </w:p>
        </w:tc>
        <w:tc>
          <w:tcPr>
            <w:tcW w:w="630" w:type="dxa"/>
            <w:vAlign w:val="center"/>
          </w:tcPr>
          <w:p w:rsidR="004C482A" w:rsidRDefault="004C482A" w:rsidP="00E506A7">
            <w:pPr>
              <w:spacing w:line="360" w:lineRule="auto"/>
              <w:jc w:val="center"/>
            </w:pPr>
            <w:r>
              <w:t>5.2</w:t>
            </w:r>
          </w:p>
        </w:tc>
        <w:tc>
          <w:tcPr>
            <w:tcW w:w="1141" w:type="dxa"/>
            <w:vAlign w:val="center"/>
          </w:tcPr>
          <w:p w:rsidR="004C482A" w:rsidRDefault="004C482A" w:rsidP="00E506A7">
            <w:pPr>
              <w:spacing w:line="360" w:lineRule="auto"/>
              <w:jc w:val="center"/>
            </w:pPr>
            <w:r>
              <w:t>6.0</w:t>
            </w:r>
          </w:p>
        </w:tc>
        <w:tc>
          <w:tcPr>
            <w:tcW w:w="654" w:type="dxa"/>
            <w:vAlign w:val="center"/>
          </w:tcPr>
          <w:p w:rsidR="004C482A" w:rsidRDefault="004C482A" w:rsidP="00E506A7">
            <w:pPr>
              <w:spacing w:line="360" w:lineRule="auto"/>
              <w:jc w:val="center"/>
            </w:pPr>
            <w:r>
              <w:t>20</w:t>
            </w:r>
          </w:p>
        </w:tc>
        <w:tc>
          <w:tcPr>
            <w:tcW w:w="654" w:type="dxa"/>
            <w:vAlign w:val="center"/>
          </w:tcPr>
          <w:p w:rsidR="004C482A" w:rsidRDefault="004C482A" w:rsidP="00E506A7">
            <w:pPr>
              <w:spacing w:line="360" w:lineRule="auto"/>
              <w:jc w:val="center"/>
            </w:pPr>
            <w:r>
              <w:t>10.8</w:t>
            </w:r>
          </w:p>
        </w:tc>
        <w:tc>
          <w:tcPr>
            <w:tcW w:w="630" w:type="dxa"/>
            <w:vAlign w:val="center"/>
          </w:tcPr>
          <w:p w:rsidR="004C482A" w:rsidRDefault="004C482A" w:rsidP="00E506A7">
            <w:pPr>
              <w:spacing w:line="360" w:lineRule="auto"/>
              <w:jc w:val="center"/>
            </w:pPr>
            <w:r>
              <w:t>9.2</w:t>
            </w:r>
          </w:p>
        </w:tc>
        <w:tc>
          <w:tcPr>
            <w:tcW w:w="1141" w:type="dxa"/>
            <w:vAlign w:val="center"/>
          </w:tcPr>
          <w:p w:rsidR="004C482A" w:rsidRDefault="004C482A" w:rsidP="00E506A7">
            <w:pPr>
              <w:spacing w:line="360" w:lineRule="auto"/>
              <w:jc w:val="center"/>
            </w:pPr>
            <w:r>
              <w:t>3.0</w:t>
            </w:r>
          </w:p>
        </w:tc>
      </w:tr>
    </w:tbl>
    <w:p w:rsidR="004C482A" w:rsidRDefault="004C482A" w:rsidP="004C482A">
      <w:pPr>
        <w:pStyle w:val="MTablecaption"/>
      </w:pPr>
    </w:p>
    <w:p w:rsidR="00BE5264" w:rsidRDefault="00BE5264" w:rsidP="00BE5264">
      <w:pPr>
        <w:pStyle w:val="MText"/>
      </w:pPr>
      <w:r>
        <w:lastRenderedPageBreak/>
        <w:t>Table 4 shows that there exist</w:t>
      </w:r>
      <w:r w:rsidR="009607BE">
        <w:t>s</w:t>
      </w:r>
      <w:r>
        <w:t xml:space="preserve"> a correlation between the energy loss and the amplitude of actuation of the actuators at charging current of 70 mA. Actuator TEA800 </w:t>
      </w:r>
      <w:r w:rsidRPr="00B433AB">
        <w:t>possessed</w:t>
      </w:r>
      <w:r>
        <w:t xml:space="preserve"> the highest energy loss during charging cycle and TEA800 overcame the other studied actuators in actuation rate at 70 mA and 300 mA. This indicates that the electrical energy is transferred into mechanical energy and loss of energy during charging cycle is proportional to the displacement generated by the actuators. The charge injection mechanism for the actuation of carbon is non-faradaic, whereupon the charging of the actua</w:t>
      </w:r>
      <w:r w:rsidR="009607BE">
        <w:t>tor of capacitive nature</w:t>
      </w:r>
      <w:r w:rsidR="009F4871">
        <w:t xml:space="preserve"> causes</w:t>
      </w:r>
      <w:r>
        <w:t xml:space="preserve"> the relatively large changes in the covalent bond lengths due to the structure of the band and the Coulombic</w:t>
      </w:r>
      <w:r w:rsidR="00B15C71">
        <w:t>’</w:t>
      </w:r>
      <w:r>
        <w:t xml:space="preserve"> effects. The actuation is caused by the microscopic dimensional changes of the carbon-polymer electrodes</w:t>
      </w:r>
      <w:r w:rsidR="009F4871">
        <w:t>.</w:t>
      </w:r>
    </w:p>
    <w:p w:rsidR="004C482A" w:rsidRDefault="00BE5264" w:rsidP="00BE5264">
      <w:pPr>
        <w:pStyle w:val="MText"/>
      </w:pPr>
      <w:r>
        <w:t xml:space="preserve">At the charging current of 300 mA, the highest actuations were exhibited by TEA800 and EMI800. In CC mode, the actuation produced by actuators with the nanoporous carbon TiC-600 is weaker than of those containing TiC-800. The correlation clearly appears at high charging current values. </w:t>
      </w:r>
      <w:r w:rsidRPr="00C25461">
        <w:t xml:space="preserve">Polymer-supported carbon electrode materials have internal resistance, retarding </w:t>
      </w:r>
      <w:r>
        <w:t xml:space="preserve">the </w:t>
      </w:r>
      <w:r w:rsidRPr="00C25461">
        <w:t>propagation of electric field in electrode sheets.</w:t>
      </w:r>
      <w:r>
        <w:t xml:space="preserve"> At relatively high charging current values, the actuation </w:t>
      </w:r>
      <w:r w:rsidRPr="00C25461">
        <w:t xml:space="preserve">of porous carbon material </w:t>
      </w:r>
      <w:r w:rsidRPr="00C25461">
        <w:rPr>
          <w:rStyle w:val="SPIEbodytextCharChar"/>
        </w:rPr>
        <w:t>is limit</w:t>
      </w:r>
      <w:r>
        <w:rPr>
          <w:rStyle w:val="SPIEbodytextCharChar"/>
        </w:rPr>
        <w:t>ed</w:t>
      </w:r>
      <w:r>
        <w:t xml:space="preserve"> by</w:t>
      </w:r>
      <w:r w:rsidRPr="00C25461">
        <w:rPr>
          <w:rStyle w:val="SPIEbodytextCharChar"/>
        </w:rPr>
        <w:t xml:space="preserve"> diffusion</w:t>
      </w:r>
      <w:r w:rsidRPr="00C25461">
        <w:t>, which exclude</w:t>
      </w:r>
      <w:r>
        <w:t>s</w:t>
      </w:r>
      <w:r w:rsidRPr="00C25461">
        <w:t xml:space="preserve"> the quick actuation response</w:t>
      </w:r>
      <w:r>
        <w:t>. Amount of confined ions in nanopores can be enlarged by increasing the diffusion rate. Therefore TiC-800 carbon material is preferred to give quick actuation response, due to its slightly macroporous 3D network compared to TiC-600. Viscosity of the electrolyte cannot be neglected when aiming at quick response of an actuator. TEABF</w:t>
      </w:r>
      <w:r>
        <w:rPr>
          <w:vertAlign w:val="subscript"/>
        </w:rPr>
        <w:t>4</w:t>
      </w:r>
      <w:r>
        <w:t>/PC electrolyte has an observable advantage when used in TiC800 actuator to generate rapid electromechanical response. In TiC-600, the effect of the low value of viscosity of TEABF</w:t>
      </w:r>
      <w:r w:rsidRPr="004147C2">
        <w:rPr>
          <w:vertAlign w:val="subscript"/>
        </w:rPr>
        <w:t>4</w:t>
      </w:r>
      <w:r>
        <w:t>/PC is reduced by the fact that TiC 600 has narrower pores and TEABF</w:t>
      </w:r>
      <w:r w:rsidRPr="00E65714">
        <w:rPr>
          <w:vertAlign w:val="subscript"/>
        </w:rPr>
        <w:t>4</w:t>
      </w:r>
      <w:r>
        <w:t xml:space="preserve"> will render up the PC solvent shell when entering into the nanopores [30].</w:t>
      </w:r>
    </w:p>
    <w:p w:rsidR="00BE5264" w:rsidRDefault="004D5A98" w:rsidP="004D5A98">
      <w:pPr>
        <w:pStyle w:val="MHeading2"/>
      </w:pPr>
      <w:r>
        <w:t xml:space="preserve">4.4. </w:t>
      </w:r>
      <w:r w:rsidRPr="004D5A98">
        <w:t>Estimation of actuator efficiency</w:t>
      </w:r>
    </w:p>
    <w:p w:rsidR="004D5A98" w:rsidRDefault="004D5A98" w:rsidP="004D5A98">
      <w:pPr>
        <w:pStyle w:val="MText"/>
      </w:pPr>
      <w:r w:rsidRPr="004D5A98">
        <w:t>The efficiencies of the actuators were calculated in two diff</w:t>
      </w:r>
      <w:r>
        <w:t>erent ways (see Equations 5 and 6). Respective values</w:t>
      </w:r>
      <w:r w:rsidRPr="004D5A98">
        <w:t xml:space="preserve"> are presented in Tab</w:t>
      </w:r>
      <w:r>
        <w:t>le</w:t>
      </w:r>
      <w:r w:rsidRPr="004D5A98">
        <w:t>. 5</w:t>
      </w:r>
      <w:r>
        <w:t>.</w:t>
      </w:r>
    </w:p>
    <w:p w:rsidR="004D5A98" w:rsidRPr="006F028F" w:rsidRDefault="006F028F" w:rsidP="007579BB">
      <w:pPr>
        <w:pStyle w:val="MFigure"/>
        <w:jc w:val="right"/>
      </w:pPr>
      <m:oMath>
        <m:r>
          <m:rPr>
            <m:sty m:val="p"/>
          </m:rPr>
          <w:rPr>
            <w:rFonts w:ascii="Cambria Math" w:hAnsi="Cambria Math"/>
          </w:rPr>
          <m:t>Efficiency</m:t>
        </m:r>
        <m:d>
          <m:dPr>
            <m:ctrlPr>
              <w:rPr>
                <w:rFonts w:ascii="Cambria Math" w:hAnsi="Cambria Math"/>
              </w:rPr>
            </m:ctrlPr>
          </m:dPr>
          <m:e>
            <m:sSub>
              <m:sSubPr>
                <m:ctrlPr>
                  <w:rPr>
                    <w:rFonts w:ascii="Cambria Math" w:hAnsi="Cambria Math"/>
                    <w:i/>
                  </w:rPr>
                </m:ctrlPr>
              </m:sSubPr>
              <m:e>
                <m:r>
                  <w:rPr>
                    <w:rFonts w:ascii="Cambria Math" w:hAnsi="Cambria Math"/>
                  </w:rPr>
                  <m:t>E</m:t>
                </m:r>
              </m:e>
              <m:sub>
                <m:r>
                  <w:rPr>
                    <w:rFonts w:ascii="Cambria Math" w:hAnsi="Cambria Math"/>
                  </w:rPr>
                  <m:t>in</m:t>
                </m:r>
              </m:sub>
            </m:sSub>
          </m:e>
        </m:d>
        <m:r>
          <m:rPr>
            <m:sty m:val="p"/>
          </m:rPr>
          <w:rPr>
            <w:rFonts w:ascii="Cambria Math" w:hAnsi="Cambria Math"/>
          </w:rPr>
          <m:t>=</m:t>
        </m:r>
        <m:f>
          <m:fPr>
            <m:ctrlPr>
              <w:rPr>
                <w:rFonts w:ascii="Cambria Math" w:hAnsi="Cambria Math"/>
                <w:i/>
              </w:rPr>
            </m:ctrlPr>
          </m:fPr>
          <m:num>
            <m:r>
              <w:rPr>
                <w:rFonts w:ascii="Cambria Math" w:hAnsi="Cambria Math"/>
              </w:rPr>
              <m:t>F×s</m:t>
            </m:r>
          </m:num>
          <m:den>
            <m:sSub>
              <m:sSubPr>
                <m:ctrlPr>
                  <w:rPr>
                    <w:rFonts w:ascii="Cambria Math" w:hAnsi="Cambria Math"/>
                    <w:i/>
                  </w:rPr>
                </m:ctrlPr>
              </m:sSubPr>
              <m:e>
                <m:r>
                  <w:rPr>
                    <w:rFonts w:ascii="Cambria Math" w:hAnsi="Cambria Math"/>
                  </w:rPr>
                  <m:t>E</m:t>
                </m:r>
              </m:e>
              <m:sub>
                <m:r>
                  <w:rPr>
                    <w:rFonts w:ascii="Cambria Math" w:hAnsi="Cambria Math"/>
                  </w:rPr>
                  <m:t>in</m:t>
                </m:r>
              </m:sub>
            </m:sSub>
          </m:den>
        </m:f>
        <m:r>
          <m:rPr>
            <m:sty m:val="p"/>
          </m:rPr>
          <w:rPr>
            <w:rFonts w:ascii="Cambria Math" w:hAnsi="Cambria Math"/>
          </w:rPr>
          <m:t>×100%</m:t>
        </m:r>
      </m:oMath>
      <w:r w:rsidR="007579BB">
        <w:tab/>
      </w:r>
      <w:r w:rsidR="007579BB">
        <w:tab/>
      </w:r>
      <w:r w:rsidR="007579BB">
        <w:tab/>
      </w:r>
      <w:r w:rsidR="007579BB">
        <w:tab/>
      </w:r>
      <w:r w:rsidR="007579BB">
        <w:tab/>
        <w:t>(5)</w:t>
      </w:r>
    </w:p>
    <w:p w:rsidR="006F028F" w:rsidRDefault="006F028F" w:rsidP="0008719B">
      <w:pPr>
        <w:pStyle w:val="MText"/>
      </w:pPr>
    </w:p>
    <w:p w:rsidR="006F028F" w:rsidRPr="006F028F" w:rsidRDefault="006F028F" w:rsidP="007579BB">
      <w:pPr>
        <w:pStyle w:val="MFigure"/>
        <w:jc w:val="right"/>
      </w:pPr>
      <m:oMath>
        <m:r>
          <m:rPr>
            <m:sty m:val="p"/>
          </m:rPr>
          <w:rPr>
            <w:rFonts w:ascii="Cambria Math" w:hAnsi="Cambria Math"/>
          </w:rPr>
          <m:t>Differential Efficiency</m:t>
        </m:r>
        <m:d>
          <m:dPr>
            <m:ctrlPr>
              <w:rPr>
                <w:rFonts w:ascii="Cambria Math" w:hAnsi="Cambria Math"/>
              </w:rPr>
            </m:ctrlPr>
          </m:dPr>
          <m:e>
            <m:sSub>
              <m:sSubPr>
                <m:ctrlPr>
                  <w:rPr>
                    <w:rFonts w:ascii="Cambria Math" w:hAnsi="Cambria Math"/>
                    <w:i/>
                  </w:rPr>
                </m:ctrlPr>
              </m:sSubPr>
              <m:e>
                <m:r>
                  <w:rPr>
                    <w:rFonts w:ascii="Cambria Math" w:hAnsi="Cambria Math"/>
                  </w:rPr>
                  <m:t>E</m:t>
                </m:r>
              </m:e>
              <m:sub>
                <m:r>
                  <w:rPr>
                    <w:rFonts w:ascii="Cambria Math" w:hAnsi="Cambria Math"/>
                  </w:rPr>
                  <m:t>loss</m:t>
                </m:r>
              </m:sub>
            </m:sSub>
          </m:e>
        </m:d>
        <m:r>
          <m:rPr>
            <m:sty m:val="p"/>
          </m:rPr>
          <w:rPr>
            <w:rFonts w:ascii="Cambria Math" w:hAnsi="Cambria Math"/>
          </w:rPr>
          <m:t>=</m:t>
        </m:r>
        <m:f>
          <m:fPr>
            <m:ctrlPr>
              <w:rPr>
                <w:rFonts w:ascii="Cambria Math" w:hAnsi="Cambria Math"/>
                <w:i/>
              </w:rPr>
            </m:ctrlPr>
          </m:fPr>
          <m:num>
            <m:r>
              <w:rPr>
                <w:rFonts w:ascii="Cambria Math" w:hAnsi="Cambria Math"/>
              </w:rPr>
              <m:t>F×s</m:t>
            </m:r>
          </m:num>
          <m:den>
            <m:sSub>
              <m:sSubPr>
                <m:ctrlPr>
                  <w:rPr>
                    <w:rFonts w:ascii="Cambria Math" w:hAnsi="Cambria Math"/>
                    <w:i/>
                  </w:rPr>
                </m:ctrlPr>
              </m:sSubPr>
              <m:e>
                <m:r>
                  <w:rPr>
                    <w:rFonts w:ascii="Cambria Math" w:hAnsi="Cambria Math"/>
                  </w:rPr>
                  <m:t>E</m:t>
                </m:r>
              </m:e>
              <m:sub>
                <m:r>
                  <w:rPr>
                    <w:rFonts w:ascii="Cambria Math" w:hAnsi="Cambria Math"/>
                  </w:rPr>
                  <m:t>in</m:t>
                </m:r>
              </m:sub>
            </m:sSub>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out</m:t>
                </m:r>
              </m:sub>
            </m:sSub>
          </m:den>
        </m:f>
        <m:r>
          <m:rPr>
            <m:sty m:val="p"/>
          </m:rPr>
          <w:rPr>
            <w:rFonts w:ascii="Cambria Math" w:hAnsi="Cambria Math"/>
          </w:rPr>
          <m:t>×100%</m:t>
        </m:r>
      </m:oMath>
      <w:r w:rsidR="007579BB">
        <w:tab/>
      </w:r>
      <w:r w:rsidR="007579BB">
        <w:tab/>
      </w:r>
      <w:r w:rsidR="007579BB">
        <w:tab/>
      </w:r>
      <w:r w:rsidR="007579BB">
        <w:tab/>
        <w:t>(6)</w:t>
      </w:r>
    </w:p>
    <w:p w:rsidR="006F028F" w:rsidRDefault="006F028F" w:rsidP="006F028F">
      <w:pPr>
        <w:pStyle w:val="MFigure"/>
      </w:pPr>
    </w:p>
    <w:p w:rsidR="00E340E8" w:rsidRDefault="0008719B" w:rsidP="006F028F">
      <w:pPr>
        <w:pStyle w:val="MText"/>
      </w:pPr>
      <w:r>
        <w:t>In Equa</w:t>
      </w:r>
      <w:r w:rsidR="006F028F">
        <w:t>tions 5 and 6</w:t>
      </w:r>
      <w:r>
        <w:t>,</w:t>
      </w:r>
      <w:r w:rsidR="006F028F">
        <w:t xml:space="preserve"> </w:t>
      </w:r>
      <w:r w:rsidR="006F028F" w:rsidRPr="0008719B">
        <w:t>F</w:t>
      </w:r>
      <w:r w:rsidR="006F028F" w:rsidRPr="006F028F">
        <w:t xml:space="preserve"> is a force </w:t>
      </w:r>
      <w:r w:rsidR="006F028F">
        <w:t xml:space="preserve">inflicted </w:t>
      </w:r>
      <w:r w:rsidR="006F028F" w:rsidRPr="006F028F">
        <w:t xml:space="preserve">by the spring and s is the displacement of actuators during charging. </w:t>
      </w:r>
      <w:r w:rsidR="006F028F" w:rsidRPr="0008719B">
        <w:t>E</w:t>
      </w:r>
      <w:r w:rsidR="006F028F" w:rsidRPr="0008719B">
        <w:rPr>
          <w:vertAlign w:val="subscript"/>
        </w:rPr>
        <w:t>in</w:t>
      </w:r>
      <w:r w:rsidR="006F028F" w:rsidRPr="006F028F">
        <w:t xml:space="preserve"> and E</w:t>
      </w:r>
      <w:r w:rsidR="006F028F" w:rsidRPr="006F028F">
        <w:rPr>
          <w:vertAlign w:val="subscript"/>
        </w:rPr>
        <w:t>out</w:t>
      </w:r>
      <w:r w:rsidR="006F028F" w:rsidRPr="006F028F">
        <w:t xml:space="preserve"> are input and output energies calculated from CC mode according</w:t>
      </w:r>
      <w:r>
        <w:t xml:space="preserve"> to</w:t>
      </w:r>
      <w:r w:rsidR="006F028F" w:rsidRPr="006F028F">
        <w:t xml:space="preserve"> Eq</w:t>
      </w:r>
      <w:r>
        <w:t>uation</w:t>
      </w:r>
      <w:r w:rsidR="006F028F" w:rsidRPr="006F028F">
        <w:t xml:space="preserve"> 4. As discussed in the previous section, E</w:t>
      </w:r>
      <w:r w:rsidR="006F028F" w:rsidRPr="006F028F">
        <w:rPr>
          <w:vertAlign w:val="subscript"/>
        </w:rPr>
        <w:t>in</w:t>
      </w:r>
      <w:r w:rsidR="006F028F" w:rsidRPr="006F028F">
        <w:t>-E</w:t>
      </w:r>
      <w:r w:rsidR="006F028F" w:rsidRPr="006F028F">
        <w:rPr>
          <w:vertAlign w:val="subscript"/>
        </w:rPr>
        <w:t>out</w:t>
      </w:r>
      <w:r w:rsidR="006F028F" w:rsidRPr="006F028F">
        <w:t xml:space="preserve"> can be defined as an energy loss of the actuators. One component of energy loss is the energy generated by the actuator to compress the spring during the actuation. Other components of energy loss are related to carbon material inner resistance and thermal effects occur during charging cycle. E</w:t>
      </w:r>
      <w:r w:rsidR="006F028F" w:rsidRPr="006F028F">
        <w:rPr>
          <w:vertAlign w:val="subscript"/>
        </w:rPr>
        <w:t>in</w:t>
      </w:r>
      <w:r w:rsidR="006F028F" w:rsidRPr="006F028F">
        <w:t xml:space="preserve"> is the total electric energy inserted in the actuator during charging and efficiency calculated by E</w:t>
      </w:r>
      <w:r w:rsidR="006F028F" w:rsidRPr="006F028F">
        <w:rPr>
          <w:vertAlign w:val="subscript"/>
        </w:rPr>
        <w:t>in</w:t>
      </w:r>
      <w:r w:rsidR="006F028F" w:rsidRPr="006F028F">
        <w:t xml:space="preserve"> characterizes the situation when output energy E</w:t>
      </w:r>
      <w:r w:rsidR="006F028F" w:rsidRPr="006F028F">
        <w:rPr>
          <w:vertAlign w:val="subscript"/>
        </w:rPr>
        <w:t>out</w:t>
      </w:r>
      <w:r w:rsidR="006F028F" w:rsidRPr="006F028F">
        <w:t xml:space="preserve"> cannot be collected. In reality, collecting of output energy of actuators is convenient and therefore implementation of output energy increases an efficiency of actuators. Efficiencies in Table 5 are </w:t>
      </w:r>
      <w:r w:rsidR="006F028F" w:rsidRPr="006F028F">
        <w:lastRenderedPageBreak/>
        <w:t>calculated from data collected by charging actuators with 70 mA and 300 mA. At current value 70 mA, the average efficiency of the actuators is two times higher than the value calculated at 300 mA. At 300 mA charging current value, the differences in efficiencies tend to decrease because the total energy inserted is significantly decreased compared to values measured at 70 mA. The high</w:t>
      </w:r>
      <w:r w:rsidR="009F4871">
        <w:t xml:space="preserve">est efficiency value of 0.014 % was </w:t>
      </w:r>
      <w:r w:rsidR="006F028F" w:rsidRPr="006F028F">
        <w:t xml:space="preserve">observed </w:t>
      </w:r>
      <w:r w:rsidR="009F4871">
        <w:t xml:space="preserve">for </w:t>
      </w:r>
      <w:r w:rsidR="006F028F" w:rsidRPr="006F028F">
        <w:t xml:space="preserve">actuator EMI600. At current value 70 mA EMI600 has actuation 4.0 mm, which is lowest value compared </w:t>
      </w:r>
      <w:r w:rsidR="00FF429F">
        <w:t>to other actuators and respective</w:t>
      </w:r>
      <w:r w:rsidR="006F028F" w:rsidRPr="006F028F">
        <w:t xml:space="preserve"> energy loss was 3.1 J (see Tab. 4). Thereby, the high efficiency of EMI600 is mainly provided by low energy loss value.</w:t>
      </w:r>
    </w:p>
    <w:p w:rsidR="0008719B" w:rsidRDefault="0008719B" w:rsidP="0008719B">
      <w:pPr>
        <w:pStyle w:val="MTablecaption"/>
      </w:pPr>
      <w:r w:rsidRPr="0008719B">
        <w:rPr>
          <w:b/>
        </w:rPr>
        <w:t>Table 5.</w:t>
      </w:r>
      <w:r>
        <w:t xml:space="preserve">  Calculated efficiencies of the actuators at different charging current</w:t>
      </w:r>
      <w:r w:rsidRPr="0008719B">
        <w:t xml:space="preserve"> </w:t>
      </w:r>
      <w:r>
        <w:t>values.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1756"/>
        <w:gridCol w:w="1756"/>
        <w:gridCol w:w="1756"/>
        <w:gridCol w:w="1756"/>
        <w:gridCol w:w="1756"/>
      </w:tblGrid>
      <w:tr w:rsidR="0008719B" w:rsidTr="0008719B">
        <w:trPr>
          <w:jc w:val="center"/>
        </w:trPr>
        <w:tc>
          <w:tcPr>
            <w:tcW w:w="1756" w:type="dxa"/>
            <w:tcBorders>
              <w:left w:val="nil"/>
              <w:bottom w:val="single" w:sz="4" w:space="0" w:color="000000"/>
              <w:right w:val="nil"/>
            </w:tcBorders>
          </w:tcPr>
          <w:p w:rsidR="0008719B" w:rsidRPr="00552C12" w:rsidRDefault="0008719B" w:rsidP="00E506A7">
            <w:pPr>
              <w:pStyle w:val="BodyText"/>
              <w:keepNext/>
              <w:jc w:val="center"/>
              <w:rPr>
                <w:i/>
              </w:rPr>
            </w:pPr>
            <w:r w:rsidRPr="00552C12">
              <w:rPr>
                <w:i/>
              </w:rPr>
              <w:t>I</w:t>
            </w:r>
            <w:r w:rsidRPr="00552C12">
              <w:rPr>
                <w:i/>
                <w:vertAlign w:val="subscript"/>
              </w:rPr>
              <w:t>C</w:t>
            </w:r>
          </w:p>
        </w:tc>
        <w:tc>
          <w:tcPr>
            <w:tcW w:w="3512" w:type="dxa"/>
            <w:gridSpan w:val="2"/>
            <w:tcBorders>
              <w:left w:val="nil"/>
              <w:bottom w:val="single" w:sz="4" w:space="0" w:color="000000"/>
              <w:right w:val="nil"/>
            </w:tcBorders>
          </w:tcPr>
          <w:p w:rsidR="0008719B" w:rsidRDefault="0008719B" w:rsidP="00E506A7">
            <w:pPr>
              <w:pStyle w:val="BodyText"/>
              <w:keepNext/>
              <w:jc w:val="center"/>
            </w:pPr>
            <w:r>
              <w:t>70 mA</w:t>
            </w:r>
          </w:p>
        </w:tc>
        <w:tc>
          <w:tcPr>
            <w:tcW w:w="3512" w:type="dxa"/>
            <w:gridSpan w:val="2"/>
            <w:tcBorders>
              <w:left w:val="nil"/>
              <w:bottom w:val="single" w:sz="4" w:space="0" w:color="000000"/>
              <w:right w:val="nil"/>
            </w:tcBorders>
          </w:tcPr>
          <w:p w:rsidR="0008719B" w:rsidRDefault="0008719B" w:rsidP="00E506A7">
            <w:pPr>
              <w:pStyle w:val="BodyText"/>
              <w:keepNext/>
              <w:jc w:val="center"/>
            </w:pPr>
            <w:r>
              <w:t>300 mA</w:t>
            </w:r>
          </w:p>
        </w:tc>
      </w:tr>
      <w:tr w:rsidR="0008719B" w:rsidTr="00FF429F">
        <w:trPr>
          <w:jc w:val="center"/>
        </w:trPr>
        <w:tc>
          <w:tcPr>
            <w:tcW w:w="1756" w:type="dxa"/>
            <w:tcBorders>
              <w:left w:val="nil"/>
              <w:bottom w:val="single" w:sz="4" w:space="0" w:color="000000"/>
              <w:right w:val="nil"/>
            </w:tcBorders>
          </w:tcPr>
          <w:p w:rsidR="0008719B" w:rsidRDefault="0008719B" w:rsidP="00E506A7">
            <w:pPr>
              <w:pStyle w:val="BodyText"/>
              <w:keepNext/>
            </w:pPr>
          </w:p>
        </w:tc>
        <w:tc>
          <w:tcPr>
            <w:tcW w:w="1756" w:type="dxa"/>
            <w:tcBorders>
              <w:left w:val="nil"/>
              <w:bottom w:val="single" w:sz="4" w:space="0" w:color="000000"/>
              <w:right w:val="nil"/>
            </w:tcBorders>
            <w:vAlign w:val="center"/>
          </w:tcPr>
          <w:p w:rsidR="0008719B" w:rsidRPr="00552C12" w:rsidRDefault="0008719B" w:rsidP="00FF429F">
            <w:pPr>
              <w:pStyle w:val="BodyText"/>
              <w:keepNext/>
              <w:jc w:val="center"/>
              <w:rPr>
                <w:vertAlign w:val="subscript"/>
              </w:rPr>
            </w:pPr>
            <w:r>
              <w:t>Efficiency by E</w:t>
            </w:r>
            <w:r w:rsidRPr="00552C12">
              <w:rPr>
                <w:vertAlign w:val="subscript"/>
              </w:rPr>
              <w:t>in</w:t>
            </w:r>
            <w:r>
              <w:t xml:space="preserve"> (%)</w:t>
            </w:r>
          </w:p>
        </w:tc>
        <w:tc>
          <w:tcPr>
            <w:tcW w:w="1756" w:type="dxa"/>
            <w:tcBorders>
              <w:left w:val="nil"/>
              <w:bottom w:val="single" w:sz="4" w:space="0" w:color="000000"/>
              <w:right w:val="nil"/>
            </w:tcBorders>
            <w:vAlign w:val="center"/>
          </w:tcPr>
          <w:p w:rsidR="00FF429F" w:rsidRDefault="00FF429F" w:rsidP="00FF429F">
            <w:pPr>
              <w:pStyle w:val="BodyText"/>
              <w:keepNext/>
              <w:jc w:val="center"/>
            </w:pPr>
            <w:r>
              <w:t>Differential</w:t>
            </w:r>
          </w:p>
          <w:p w:rsidR="0008719B" w:rsidRPr="00552C12" w:rsidRDefault="00FF429F" w:rsidP="00FF429F">
            <w:pPr>
              <w:pStyle w:val="BodyText"/>
              <w:keepNext/>
              <w:jc w:val="center"/>
              <w:rPr>
                <w:vertAlign w:val="subscript"/>
              </w:rPr>
            </w:pPr>
            <w:r>
              <w:t>e</w:t>
            </w:r>
            <w:r w:rsidR="0008719B">
              <w:t>fficiency by E</w:t>
            </w:r>
            <w:r w:rsidR="0008719B" w:rsidRPr="00552C12">
              <w:rPr>
                <w:vertAlign w:val="subscript"/>
              </w:rPr>
              <w:t>loss</w:t>
            </w:r>
            <w:r w:rsidR="0008719B">
              <w:t xml:space="preserve"> (%)</w:t>
            </w:r>
          </w:p>
        </w:tc>
        <w:tc>
          <w:tcPr>
            <w:tcW w:w="1756" w:type="dxa"/>
            <w:tcBorders>
              <w:left w:val="nil"/>
              <w:bottom w:val="single" w:sz="4" w:space="0" w:color="000000"/>
              <w:right w:val="nil"/>
            </w:tcBorders>
            <w:vAlign w:val="center"/>
          </w:tcPr>
          <w:p w:rsidR="0008719B" w:rsidRPr="00552C12" w:rsidRDefault="0008719B" w:rsidP="00FF429F">
            <w:pPr>
              <w:pStyle w:val="BodyText"/>
              <w:keepNext/>
              <w:jc w:val="center"/>
              <w:rPr>
                <w:vertAlign w:val="subscript"/>
              </w:rPr>
            </w:pPr>
            <w:r>
              <w:t>Efficiency by E</w:t>
            </w:r>
            <w:r w:rsidRPr="00552C12">
              <w:rPr>
                <w:vertAlign w:val="subscript"/>
              </w:rPr>
              <w:t>in</w:t>
            </w:r>
            <w:r>
              <w:t xml:space="preserve"> (%)</w:t>
            </w:r>
          </w:p>
        </w:tc>
        <w:tc>
          <w:tcPr>
            <w:tcW w:w="1756" w:type="dxa"/>
            <w:tcBorders>
              <w:left w:val="nil"/>
              <w:bottom w:val="single" w:sz="4" w:space="0" w:color="000000"/>
              <w:right w:val="nil"/>
            </w:tcBorders>
            <w:vAlign w:val="center"/>
          </w:tcPr>
          <w:p w:rsidR="00FF429F" w:rsidRDefault="00FF429F" w:rsidP="00FF429F">
            <w:pPr>
              <w:pStyle w:val="BodyText"/>
              <w:keepNext/>
              <w:jc w:val="center"/>
            </w:pPr>
            <w:r>
              <w:t>Differential</w:t>
            </w:r>
          </w:p>
          <w:p w:rsidR="0008719B" w:rsidRPr="00E65714" w:rsidRDefault="00FF429F" w:rsidP="00FF429F">
            <w:pPr>
              <w:pStyle w:val="BodyText"/>
              <w:keepNext/>
              <w:jc w:val="center"/>
            </w:pPr>
            <w:r>
              <w:t>e</w:t>
            </w:r>
            <w:r w:rsidR="0008719B">
              <w:t>fficiency by E</w:t>
            </w:r>
            <w:r w:rsidR="0008719B" w:rsidRPr="00552C12">
              <w:rPr>
                <w:vertAlign w:val="subscript"/>
              </w:rPr>
              <w:t>loss</w:t>
            </w:r>
            <w:r w:rsidR="0008719B">
              <w:t xml:space="preserve"> (%)</w:t>
            </w:r>
          </w:p>
        </w:tc>
      </w:tr>
      <w:tr w:rsidR="0008719B" w:rsidTr="0008719B">
        <w:trPr>
          <w:jc w:val="center"/>
        </w:trPr>
        <w:tc>
          <w:tcPr>
            <w:tcW w:w="1756" w:type="dxa"/>
            <w:tcBorders>
              <w:left w:val="nil"/>
              <w:bottom w:val="nil"/>
              <w:right w:val="nil"/>
            </w:tcBorders>
            <w:vAlign w:val="center"/>
          </w:tcPr>
          <w:p w:rsidR="0008719B" w:rsidRDefault="0008719B" w:rsidP="00E506A7">
            <w:pPr>
              <w:pStyle w:val="BodyText"/>
              <w:keepNext/>
              <w:jc w:val="center"/>
            </w:pPr>
            <w:r>
              <w:t>TEA600</w:t>
            </w:r>
          </w:p>
        </w:tc>
        <w:tc>
          <w:tcPr>
            <w:tcW w:w="1756" w:type="dxa"/>
            <w:tcBorders>
              <w:left w:val="nil"/>
              <w:bottom w:val="nil"/>
              <w:right w:val="nil"/>
            </w:tcBorders>
          </w:tcPr>
          <w:p w:rsidR="0008719B" w:rsidRDefault="0008719B" w:rsidP="00E506A7">
            <w:pPr>
              <w:pStyle w:val="BodyText"/>
              <w:keepNext/>
              <w:jc w:val="center"/>
            </w:pPr>
            <w:r>
              <w:t>0.0029</w:t>
            </w:r>
          </w:p>
        </w:tc>
        <w:tc>
          <w:tcPr>
            <w:tcW w:w="1756" w:type="dxa"/>
            <w:tcBorders>
              <w:left w:val="nil"/>
              <w:bottom w:val="nil"/>
              <w:right w:val="nil"/>
            </w:tcBorders>
          </w:tcPr>
          <w:p w:rsidR="0008719B" w:rsidRDefault="0008719B" w:rsidP="00E506A7">
            <w:pPr>
              <w:pStyle w:val="BodyText"/>
              <w:keepNext/>
              <w:jc w:val="center"/>
            </w:pPr>
            <w:r>
              <w:t>0.014</w:t>
            </w:r>
          </w:p>
        </w:tc>
        <w:tc>
          <w:tcPr>
            <w:tcW w:w="1756" w:type="dxa"/>
            <w:tcBorders>
              <w:left w:val="nil"/>
              <w:bottom w:val="nil"/>
              <w:right w:val="nil"/>
            </w:tcBorders>
          </w:tcPr>
          <w:p w:rsidR="0008719B" w:rsidRDefault="0008719B" w:rsidP="00E506A7">
            <w:pPr>
              <w:pStyle w:val="BodyText"/>
              <w:keepNext/>
              <w:jc w:val="center"/>
            </w:pPr>
            <w:r>
              <w:t>0.0022</w:t>
            </w:r>
          </w:p>
        </w:tc>
        <w:tc>
          <w:tcPr>
            <w:tcW w:w="1756" w:type="dxa"/>
            <w:tcBorders>
              <w:left w:val="nil"/>
              <w:bottom w:val="nil"/>
              <w:right w:val="nil"/>
            </w:tcBorders>
          </w:tcPr>
          <w:p w:rsidR="0008719B" w:rsidRDefault="0008719B" w:rsidP="00E506A7">
            <w:pPr>
              <w:pStyle w:val="BodyText"/>
              <w:keepNext/>
              <w:jc w:val="center"/>
            </w:pPr>
            <w:r>
              <w:t>0.0047</w:t>
            </w:r>
          </w:p>
        </w:tc>
      </w:tr>
      <w:tr w:rsidR="0008719B" w:rsidTr="0008719B">
        <w:trPr>
          <w:jc w:val="center"/>
        </w:trPr>
        <w:tc>
          <w:tcPr>
            <w:tcW w:w="1756" w:type="dxa"/>
            <w:tcBorders>
              <w:top w:val="nil"/>
              <w:left w:val="nil"/>
              <w:bottom w:val="nil"/>
              <w:right w:val="nil"/>
            </w:tcBorders>
            <w:vAlign w:val="center"/>
          </w:tcPr>
          <w:p w:rsidR="0008719B" w:rsidRDefault="0008719B" w:rsidP="00E506A7">
            <w:pPr>
              <w:pStyle w:val="BodyText"/>
              <w:keepNext/>
              <w:jc w:val="center"/>
            </w:pPr>
            <w:r>
              <w:t>TEA800</w:t>
            </w:r>
          </w:p>
        </w:tc>
        <w:tc>
          <w:tcPr>
            <w:tcW w:w="1756" w:type="dxa"/>
            <w:tcBorders>
              <w:top w:val="nil"/>
              <w:left w:val="nil"/>
              <w:bottom w:val="nil"/>
              <w:right w:val="nil"/>
            </w:tcBorders>
          </w:tcPr>
          <w:p w:rsidR="0008719B" w:rsidRDefault="0008719B" w:rsidP="00E506A7">
            <w:pPr>
              <w:pStyle w:val="BodyText"/>
              <w:keepNext/>
              <w:jc w:val="center"/>
            </w:pPr>
            <w:r>
              <w:t>0.0035</w:t>
            </w:r>
          </w:p>
        </w:tc>
        <w:tc>
          <w:tcPr>
            <w:tcW w:w="1756" w:type="dxa"/>
            <w:tcBorders>
              <w:top w:val="nil"/>
              <w:left w:val="nil"/>
              <w:bottom w:val="nil"/>
              <w:right w:val="nil"/>
            </w:tcBorders>
          </w:tcPr>
          <w:p w:rsidR="0008719B" w:rsidRDefault="0008719B" w:rsidP="00E506A7">
            <w:pPr>
              <w:pStyle w:val="BodyText"/>
              <w:keepNext/>
              <w:jc w:val="center"/>
            </w:pPr>
            <w:r>
              <w:t>0.01</w:t>
            </w:r>
          </w:p>
        </w:tc>
        <w:tc>
          <w:tcPr>
            <w:tcW w:w="1756" w:type="dxa"/>
            <w:tcBorders>
              <w:top w:val="nil"/>
              <w:left w:val="nil"/>
              <w:bottom w:val="nil"/>
              <w:right w:val="nil"/>
            </w:tcBorders>
          </w:tcPr>
          <w:p w:rsidR="0008719B" w:rsidRDefault="0008719B" w:rsidP="00E506A7">
            <w:pPr>
              <w:pStyle w:val="BodyText"/>
              <w:keepNext/>
              <w:jc w:val="center"/>
            </w:pPr>
            <w:r>
              <w:t>0.0029</w:t>
            </w:r>
          </w:p>
        </w:tc>
        <w:tc>
          <w:tcPr>
            <w:tcW w:w="1756" w:type="dxa"/>
            <w:tcBorders>
              <w:top w:val="nil"/>
              <w:left w:val="nil"/>
              <w:bottom w:val="nil"/>
              <w:right w:val="nil"/>
            </w:tcBorders>
          </w:tcPr>
          <w:p w:rsidR="0008719B" w:rsidRDefault="0008719B" w:rsidP="00E506A7">
            <w:pPr>
              <w:pStyle w:val="BodyText"/>
              <w:keepNext/>
              <w:jc w:val="center"/>
            </w:pPr>
            <w:r>
              <w:t>0.0072</w:t>
            </w:r>
          </w:p>
        </w:tc>
      </w:tr>
      <w:tr w:rsidR="0008719B" w:rsidTr="0008719B">
        <w:trPr>
          <w:jc w:val="center"/>
        </w:trPr>
        <w:tc>
          <w:tcPr>
            <w:tcW w:w="1756" w:type="dxa"/>
            <w:tcBorders>
              <w:top w:val="nil"/>
              <w:left w:val="nil"/>
              <w:bottom w:val="nil"/>
              <w:right w:val="nil"/>
            </w:tcBorders>
            <w:vAlign w:val="center"/>
          </w:tcPr>
          <w:p w:rsidR="0008719B" w:rsidRDefault="0008719B" w:rsidP="00E506A7">
            <w:pPr>
              <w:pStyle w:val="BodyText"/>
              <w:keepNext/>
              <w:jc w:val="center"/>
            </w:pPr>
            <w:r>
              <w:t>EMI600</w:t>
            </w:r>
          </w:p>
        </w:tc>
        <w:tc>
          <w:tcPr>
            <w:tcW w:w="1756" w:type="dxa"/>
            <w:tcBorders>
              <w:top w:val="nil"/>
              <w:left w:val="nil"/>
              <w:bottom w:val="nil"/>
              <w:right w:val="nil"/>
            </w:tcBorders>
          </w:tcPr>
          <w:p w:rsidR="0008719B" w:rsidRDefault="0008719B" w:rsidP="00E506A7">
            <w:pPr>
              <w:pStyle w:val="BodyText"/>
              <w:keepNext/>
              <w:jc w:val="center"/>
            </w:pPr>
            <w:r>
              <w:t>0.0042</w:t>
            </w:r>
          </w:p>
        </w:tc>
        <w:tc>
          <w:tcPr>
            <w:tcW w:w="1756" w:type="dxa"/>
            <w:tcBorders>
              <w:top w:val="nil"/>
              <w:left w:val="nil"/>
              <w:bottom w:val="nil"/>
              <w:right w:val="nil"/>
            </w:tcBorders>
          </w:tcPr>
          <w:p w:rsidR="0008719B" w:rsidRDefault="0008719B" w:rsidP="00E506A7">
            <w:pPr>
              <w:pStyle w:val="BodyText"/>
              <w:keepNext/>
              <w:jc w:val="center"/>
            </w:pPr>
            <w:r>
              <w:t>0.011</w:t>
            </w:r>
          </w:p>
        </w:tc>
        <w:tc>
          <w:tcPr>
            <w:tcW w:w="1756" w:type="dxa"/>
            <w:tcBorders>
              <w:top w:val="nil"/>
              <w:left w:val="nil"/>
              <w:bottom w:val="nil"/>
              <w:right w:val="nil"/>
            </w:tcBorders>
          </w:tcPr>
          <w:p w:rsidR="0008719B" w:rsidRDefault="0008719B" w:rsidP="00E506A7">
            <w:pPr>
              <w:pStyle w:val="BodyText"/>
              <w:keepNext/>
              <w:jc w:val="center"/>
            </w:pPr>
            <w:r>
              <w:t>0.002</w:t>
            </w:r>
          </w:p>
        </w:tc>
        <w:tc>
          <w:tcPr>
            <w:tcW w:w="1756" w:type="dxa"/>
            <w:tcBorders>
              <w:top w:val="nil"/>
              <w:left w:val="nil"/>
              <w:bottom w:val="nil"/>
              <w:right w:val="nil"/>
            </w:tcBorders>
          </w:tcPr>
          <w:p w:rsidR="0008719B" w:rsidRDefault="0008719B" w:rsidP="00E506A7">
            <w:pPr>
              <w:pStyle w:val="BodyText"/>
              <w:keepNext/>
              <w:jc w:val="center"/>
            </w:pPr>
            <w:r>
              <w:t>0.0047</w:t>
            </w:r>
          </w:p>
        </w:tc>
      </w:tr>
      <w:tr w:rsidR="0008719B" w:rsidTr="0008719B">
        <w:trPr>
          <w:jc w:val="center"/>
        </w:trPr>
        <w:tc>
          <w:tcPr>
            <w:tcW w:w="1756" w:type="dxa"/>
            <w:tcBorders>
              <w:top w:val="nil"/>
              <w:left w:val="nil"/>
              <w:bottom w:val="nil"/>
              <w:right w:val="nil"/>
            </w:tcBorders>
            <w:vAlign w:val="center"/>
          </w:tcPr>
          <w:p w:rsidR="0008719B" w:rsidRDefault="0008719B" w:rsidP="00E506A7">
            <w:pPr>
              <w:pStyle w:val="BodyText"/>
              <w:jc w:val="center"/>
            </w:pPr>
            <w:r>
              <w:t>EMI800</w:t>
            </w:r>
          </w:p>
        </w:tc>
        <w:tc>
          <w:tcPr>
            <w:tcW w:w="1756" w:type="dxa"/>
            <w:tcBorders>
              <w:top w:val="nil"/>
              <w:left w:val="nil"/>
              <w:bottom w:val="nil"/>
              <w:right w:val="nil"/>
            </w:tcBorders>
          </w:tcPr>
          <w:p w:rsidR="0008719B" w:rsidRDefault="0008719B" w:rsidP="00E506A7">
            <w:pPr>
              <w:pStyle w:val="BodyText"/>
              <w:jc w:val="center"/>
            </w:pPr>
            <w:r>
              <w:t>0.0026</w:t>
            </w:r>
          </w:p>
        </w:tc>
        <w:tc>
          <w:tcPr>
            <w:tcW w:w="1756" w:type="dxa"/>
            <w:tcBorders>
              <w:top w:val="nil"/>
              <w:left w:val="nil"/>
              <w:bottom w:val="nil"/>
              <w:right w:val="nil"/>
            </w:tcBorders>
          </w:tcPr>
          <w:p w:rsidR="0008719B" w:rsidRDefault="0008719B" w:rsidP="00E506A7">
            <w:pPr>
              <w:pStyle w:val="BodyText"/>
              <w:jc w:val="center"/>
            </w:pPr>
            <w:r>
              <w:t>0.013</w:t>
            </w:r>
          </w:p>
        </w:tc>
        <w:tc>
          <w:tcPr>
            <w:tcW w:w="1756" w:type="dxa"/>
            <w:tcBorders>
              <w:top w:val="nil"/>
              <w:left w:val="nil"/>
              <w:bottom w:val="nil"/>
              <w:right w:val="nil"/>
            </w:tcBorders>
          </w:tcPr>
          <w:p w:rsidR="0008719B" w:rsidRDefault="0008719B" w:rsidP="00E506A7">
            <w:pPr>
              <w:pStyle w:val="BodyText"/>
              <w:jc w:val="center"/>
            </w:pPr>
            <w:r>
              <w:t>0.0017</w:t>
            </w:r>
          </w:p>
        </w:tc>
        <w:tc>
          <w:tcPr>
            <w:tcW w:w="1756" w:type="dxa"/>
            <w:tcBorders>
              <w:top w:val="nil"/>
              <w:left w:val="nil"/>
              <w:bottom w:val="nil"/>
              <w:right w:val="nil"/>
            </w:tcBorders>
          </w:tcPr>
          <w:p w:rsidR="0008719B" w:rsidRDefault="0008719B" w:rsidP="00E506A7">
            <w:pPr>
              <w:pStyle w:val="BodyText"/>
              <w:jc w:val="center"/>
            </w:pPr>
            <w:r>
              <w:t>0.0036</w:t>
            </w:r>
          </w:p>
        </w:tc>
      </w:tr>
    </w:tbl>
    <w:p w:rsidR="0008719B" w:rsidRDefault="0008719B" w:rsidP="0008719B">
      <w:pPr>
        <w:pStyle w:val="MText"/>
        <w:jc w:val="center"/>
      </w:pPr>
    </w:p>
    <w:p w:rsidR="00652532" w:rsidRDefault="00652532" w:rsidP="00652532">
      <w:pPr>
        <w:pStyle w:val="MHeading2"/>
      </w:pPr>
      <w:r>
        <w:t xml:space="preserve">4.5. </w:t>
      </w:r>
      <w:r w:rsidRPr="00652532">
        <w:t>CCCP mode experiments</w:t>
      </w:r>
    </w:p>
    <w:p w:rsidR="00652532" w:rsidRDefault="00652532" w:rsidP="00652532">
      <w:pPr>
        <w:pStyle w:val="MText"/>
      </w:pPr>
      <w:r w:rsidRPr="00652532">
        <w:t xml:space="preserve">In order to examine the dynamics and peak of the actuation of the actuators, the CCCP mode was used - after charging the actuator to certain voltage using constant current </w:t>
      </w:r>
      <w:r w:rsidRPr="00652532">
        <w:rPr>
          <w:i/>
        </w:rPr>
        <w:t>I</w:t>
      </w:r>
      <w:r w:rsidRPr="00652532">
        <w:rPr>
          <w:i/>
          <w:vertAlign w:val="subscript"/>
        </w:rPr>
        <w:t>C</w:t>
      </w:r>
      <w:r w:rsidRPr="00652532">
        <w:t xml:space="preserve">, a constant potential </w:t>
      </w:r>
      <w:r w:rsidRPr="00652532">
        <w:rPr>
          <w:i/>
        </w:rPr>
        <w:t>V</w:t>
      </w:r>
      <w:r w:rsidRPr="00652532">
        <w:rPr>
          <w:i/>
          <w:vertAlign w:val="subscript"/>
        </w:rPr>
        <w:t>C</w:t>
      </w:r>
      <w:r w:rsidRPr="00652532">
        <w:t xml:space="preserve"> was applied for up to 5 minutes. During the period of the constant potential, the current decreases substantially and the peak of actuation appears in few minutes. In the course of different experiments, the amperage of the constant current was varied in the range of 50 to 1000 mA.</w:t>
      </w:r>
    </w:p>
    <w:p w:rsidR="00652532" w:rsidRDefault="00652532" w:rsidP="00652532">
      <w:pPr>
        <w:pStyle w:val="MTablecaption"/>
      </w:pPr>
      <w:r w:rsidRPr="00652532">
        <w:rPr>
          <w:b/>
        </w:rPr>
        <w:t>Figure 7</w:t>
      </w:r>
      <w:r>
        <w:rPr>
          <w:i/>
        </w:rPr>
        <w:t xml:space="preserve">. </w:t>
      </w:r>
      <w:r w:rsidRPr="00652532">
        <w:t>CCCP measurement of EMI800 (I</w:t>
      </w:r>
      <w:r w:rsidRPr="00652532">
        <w:rPr>
          <w:vertAlign w:val="subscript"/>
        </w:rPr>
        <w:t>C</w:t>
      </w:r>
      <w:r w:rsidRPr="00652532">
        <w:t xml:space="preserve"> = 400 mA, V</w:t>
      </w:r>
      <w:r w:rsidRPr="00652532">
        <w:rPr>
          <w:vertAlign w:val="subscript"/>
        </w:rPr>
        <w:t>C</w:t>
      </w:r>
      <w:r w:rsidRPr="00652532">
        <w:t xml:space="preserve"> = 2.5</w:t>
      </w:r>
      <w:r>
        <w:t xml:space="preserve"> </w:t>
      </w:r>
      <w:r w:rsidR="00972415">
        <w:t>V). V</w:t>
      </w:r>
      <w:r w:rsidRPr="00652532">
        <w:t xml:space="preserve">oltage, </w:t>
      </w:r>
      <w:r>
        <w:t>current and actuation vs. time</w:t>
      </w:r>
      <w:r w:rsidR="00972415">
        <w:t xml:space="preserve"> </w:t>
      </w:r>
      <w:r w:rsidR="00972415" w:rsidRPr="00652532">
        <w:rPr>
          <w:b/>
        </w:rPr>
        <w:t>(a)</w:t>
      </w:r>
      <w:r w:rsidR="00972415">
        <w:t xml:space="preserve"> and</w:t>
      </w:r>
      <w:r>
        <w:t xml:space="preserve"> </w:t>
      </w:r>
      <w:r w:rsidRPr="00652532">
        <w:t>actuation vs. charge</w:t>
      </w:r>
      <w:r w:rsidR="00972415">
        <w:t xml:space="preserve"> </w:t>
      </w:r>
      <w:r w:rsidR="00972415" w:rsidRPr="00652532">
        <w:rPr>
          <w:b/>
        </w:rPr>
        <w:t>(b)</w:t>
      </w:r>
      <w:r w:rsidRPr="00652532">
        <w:t>.</w:t>
      </w:r>
    </w:p>
    <w:p w:rsidR="00652532" w:rsidRDefault="008658DD" w:rsidP="008658DD">
      <w:pPr>
        <w:pStyle w:val="MText"/>
        <w:jc w:val="center"/>
      </w:pPr>
      <w:r>
        <w:rPr>
          <w:noProof/>
          <w:lang w:val="et-EE" w:eastAsia="et-EE"/>
        </w:rPr>
        <w:drawing>
          <wp:inline distT="0" distB="0" distL="0" distR="0">
            <wp:extent cx="5486400" cy="2400300"/>
            <wp:effectExtent l="19050" t="0" r="0" b="0"/>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srcRect/>
                    <a:stretch>
                      <a:fillRect/>
                    </a:stretch>
                  </pic:blipFill>
                  <pic:spPr bwMode="auto">
                    <a:xfrm>
                      <a:off x="0" y="0"/>
                      <a:ext cx="5486400" cy="2400300"/>
                    </a:xfrm>
                    <a:prstGeom prst="rect">
                      <a:avLst/>
                    </a:prstGeom>
                    <a:noFill/>
                    <a:ln w="9525">
                      <a:noFill/>
                      <a:miter lim="800000"/>
                      <a:headEnd/>
                      <a:tailEnd/>
                    </a:ln>
                  </pic:spPr>
                </pic:pic>
              </a:graphicData>
            </a:graphic>
          </wp:inline>
        </w:drawing>
      </w:r>
    </w:p>
    <w:p w:rsidR="008658DD" w:rsidRDefault="008658DD" w:rsidP="008658DD">
      <w:pPr>
        <w:pStyle w:val="MText"/>
        <w:jc w:val="center"/>
      </w:pPr>
    </w:p>
    <w:p w:rsidR="008658DD" w:rsidRDefault="008658DD" w:rsidP="008658DD">
      <w:pPr>
        <w:pStyle w:val="MText"/>
      </w:pPr>
      <w:r w:rsidRPr="008658DD">
        <w:t>Fig. 7a depicts the diagrams of charging the actuator EMI800 in the CCCP mode. The actuation culminates and remains stable in about 120 seconds, while the voltage reaches its stable level already in 60 seconds. This diagram is very typical, similar behavior was observed for all tested actuators. The actuation-charge diagram depicted in Fig. 7b indicates that there exists a nonlinear correlation between the actuation and the electric charge of the actuator.</w:t>
      </w:r>
    </w:p>
    <w:p w:rsidR="008658DD" w:rsidRDefault="008658DD" w:rsidP="008658DD">
      <w:pPr>
        <w:pStyle w:val="MTablecaption"/>
      </w:pPr>
      <w:r w:rsidRPr="008658DD">
        <w:rPr>
          <w:b/>
        </w:rPr>
        <w:t>Figure 8.</w:t>
      </w:r>
      <w:r>
        <w:t xml:space="preserve"> </w:t>
      </w:r>
      <w:r w:rsidRPr="008658DD">
        <w:t>CCCP measurement of EMI800 (I</w:t>
      </w:r>
      <w:r w:rsidRPr="008658DD">
        <w:rPr>
          <w:vertAlign w:val="subscript"/>
        </w:rPr>
        <w:t xml:space="preserve">C </w:t>
      </w:r>
      <w:r w:rsidRPr="008658DD">
        <w:t>= 1000 mA, V</w:t>
      </w:r>
      <w:r w:rsidRPr="008658DD">
        <w:rPr>
          <w:vertAlign w:val="subscript"/>
        </w:rPr>
        <w:t xml:space="preserve">C </w:t>
      </w:r>
      <w:r w:rsidR="00E17C70">
        <w:t>= 3 V).</w:t>
      </w:r>
      <w:r w:rsidRPr="008658DD">
        <w:t xml:space="preserve"> </w:t>
      </w:r>
      <w:r w:rsidR="00E17C70">
        <w:t>V</w:t>
      </w:r>
      <w:r w:rsidRPr="008658DD">
        <w:t>oltage and current</w:t>
      </w:r>
      <w:r w:rsidR="00E17C70">
        <w:t xml:space="preserve"> vs. time </w:t>
      </w:r>
      <w:r w:rsidR="00E17C70" w:rsidRPr="008658DD">
        <w:rPr>
          <w:b/>
        </w:rPr>
        <w:t>(a)</w:t>
      </w:r>
      <w:r w:rsidRPr="008658DD">
        <w:t>; actuation and charge</w:t>
      </w:r>
      <w:r w:rsidR="00E17C70">
        <w:t xml:space="preserve"> vs. time </w:t>
      </w:r>
      <w:r w:rsidR="00E17C70" w:rsidRPr="008658DD">
        <w:rPr>
          <w:b/>
        </w:rPr>
        <w:t>(b)</w:t>
      </w:r>
      <w:r>
        <w:t>.</w:t>
      </w:r>
    </w:p>
    <w:p w:rsidR="008658DD" w:rsidRDefault="008658DD" w:rsidP="008658DD">
      <w:pPr>
        <w:pStyle w:val="MText"/>
        <w:jc w:val="center"/>
      </w:pPr>
      <w:r>
        <w:rPr>
          <w:noProof/>
          <w:lang w:val="et-EE" w:eastAsia="et-EE"/>
        </w:rPr>
        <w:drawing>
          <wp:inline distT="0" distB="0" distL="0" distR="0">
            <wp:extent cx="5153025" cy="2476500"/>
            <wp:effectExtent l="19050" t="0" r="9525" b="0"/>
            <wp:docPr id="3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srcRect/>
                    <a:stretch>
                      <a:fillRect/>
                    </a:stretch>
                  </pic:blipFill>
                  <pic:spPr bwMode="auto">
                    <a:xfrm>
                      <a:off x="0" y="0"/>
                      <a:ext cx="5153025" cy="2476500"/>
                    </a:xfrm>
                    <a:prstGeom prst="rect">
                      <a:avLst/>
                    </a:prstGeom>
                    <a:noFill/>
                    <a:ln w="9525">
                      <a:noFill/>
                      <a:miter lim="800000"/>
                      <a:headEnd/>
                      <a:tailEnd/>
                    </a:ln>
                  </pic:spPr>
                </pic:pic>
              </a:graphicData>
            </a:graphic>
          </wp:inline>
        </w:drawing>
      </w:r>
    </w:p>
    <w:p w:rsidR="008658DD" w:rsidRPr="008658DD" w:rsidRDefault="008658DD" w:rsidP="008658DD">
      <w:pPr>
        <w:pStyle w:val="MFigure"/>
      </w:pPr>
    </w:p>
    <w:p w:rsidR="004E7625" w:rsidRPr="00804366" w:rsidRDefault="004E7625" w:rsidP="00804366">
      <w:pPr>
        <w:pStyle w:val="MText"/>
      </w:pPr>
      <w:r>
        <w:t xml:space="preserve">Figure 8 depicts the series of periodic charging-discharging cycles of the actuator. As the charging current is high, the period of constant current ceases already in a few seconds. During this time interval, almost no actuation is detected, since the voltage is low and the adsorption of ions is a </w:t>
      </w:r>
      <w:r w:rsidRPr="00804366">
        <w:t>diffusion-limited process in the porous electrodes. The current dies away slowly due to the internal resistance of the actuator. While discharging by short-circuiting, the adsorbed energy is wasted through the low ohmic discharge resistor.</w:t>
      </w:r>
    </w:p>
    <w:p w:rsidR="00804366" w:rsidRDefault="004E7625" w:rsidP="00804366">
      <w:pPr>
        <w:pStyle w:val="MText"/>
      </w:pPr>
      <w:r w:rsidRPr="00804366">
        <w:t xml:space="preserve">The actuation throughout the simultaneous cycles is of similar characteristics. The peak of actuation (12 </w:t>
      </w:r>
      <w:r w:rsidRPr="00804366">
        <w:sym w:font="Symbol" w:char="F06D"/>
      </w:r>
      <w:r w:rsidRPr="00804366">
        <w:t xml:space="preserve">m) is gained in the both cycles of Figure 8. The average speed of actuation can be calculated from the data of actuation, and is 0.2 </w:t>
      </w:r>
      <w:r w:rsidRPr="00804366">
        <w:sym w:font="Symbol" w:char="F06D"/>
      </w:r>
      <w:r w:rsidRPr="00804366">
        <w:t>m s</w:t>
      </w:r>
      <w:r w:rsidRPr="00804366">
        <w:rPr>
          <w:vertAlign w:val="superscript"/>
        </w:rPr>
        <w:t>-1</w:t>
      </w:r>
      <w:r w:rsidRPr="00804366">
        <w:t>. Due to the low speed of desorption of ions of the ionic liquid from the porous carbon, the process</w:t>
      </w:r>
      <w:r>
        <w:t xml:space="preserve"> of discharging is slow and the cell does not relax to its initial thickness between the simultaneous cycles. The actuators are able to gain their initial position after about 5 minutes shorting only.</w:t>
      </w:r>
    </w:p>
    <w:p w:rsidR="00804366" w:rsidRDefault="00804366">
      <w:pPr>
        <w:spacing w:line="240" w:lineRule="auto"/>
        <w:jc w:val="left"/>
      </w:pPr>
      <w:r>
        <w:br w:type="page"/>
      </w:r>
    </w:p>
    <w:p w:rsidR="008658DD" w:rsidRDefault="008658DD" w:rsidP="00804366">
      <w:pPr>
        <w:pStyle w:val="MText"/>
      </w:pPr>
    </w:p>
    <w:p w:rsidR="004E7625" w:rsidRDefault="004E7625" w:rsidP="004E7625">
      <w:pPr>
        <w:pStyle w:val="MTablecaption"/>
      </w:pPr>
      <w:r w:rsidRPr="004E7625">
        <w:rPr>
          <w:b/>
        </w:rPr>
        <w:t>Figure 9.</w:t>
      </w:r>
      <w:r w:rsidRPr="004E7625">
        <w:rPr>
          <w:i/>
        </w:rPr>
        <w:t xml:space="preserve"> </w:t>
      </w:r>
      <w:r w:rsidRPr="004E7625">
        <w:t xml:space="preserve">Actuation of EMI600 and EMI800 vs. time </w:t>
      </w:r>
      <w:r w:rsidRPr="004E7625">
        <w:rPr>
          <w:b/>
        </w:rPr>
        <w:t>(a)</w:t>
      </w:r>
      <w:r>
        <w:t xml:space="preserve"> and vs. charge </w:t>
      </w:r>
      <w:r w:rsidRPr="004E7625">
        <w:rPr>
          <w:b/>
        </w:rPr>
        <w:t>(b)</w:t>
      </w:r>
      <w:r>
        <w:t xml:space="preserve"> </w:t>
      </w:r>
      <w:r w:rsidRPr="004E7625">
        <w:t>(I</w:t>
      </w:r>
      <w:r w:rsidRPr="004E7625">
        <w:rPr>
          <w:vertAlign w:val="subscript"/>
        </w:rPr>
        <w:t>C</w:t>
      </w:r>
      <w:r>
        <w:t xml:space="preserve"> = 50mA;</w:t>
      </w:r>
      <w:r w:rsidRPr="004E7625">
        <w:t xml:space="preserve"> V</w:t>
      </w:r>
      <w:r w:rsidRPr="004E7625">
        <w:rPr>
          <w:vertAlign w:val="subscript"/>
        </w:rPr>
        <w:t>C</w:t>
      </w:r>
      <w:r w:rsidRPr="004E7625">
        <w:t xml:space="preserve"> = 3V).</w:t>
      </w:r>
    </w:p>
    <w:p w:rsidR="004E7625" w:rsidRDefault="007579BB" w:rsidP="007579BB">
      <w:pPr>
        <w:pStyle w:val="MText"/>
        <w:jc w:val="center"/>
      </w:pPr>
      <w:r>
        <w:rPr>
          <w:noProof/>
          <w:lang w:val="et-EE" w:eastAsia="et-EE"/>
        </w:rPr>
        <w:drawing>
          <wp:inline distT="0" distB="0" distL="0" distR="0">
            <wp:extent cx="5486400" cy="2171700"/>
            <wp:effectExtent l="19050" t="0" r="0" b="0"/>
            <wp:docPr id="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srcRect/>
                    <a:stretch>
                      <a:fillRect/>
                    </a:stretch>
                  </pic:blipFill>
                  <pic:spPr bwMode="auto">
                    <a:xfrm>
                      <a:off x="0" y="0"/>
                      <a:ext cx="5486400" cy="2171700"/>
                    </a:xfrm>
                    <a:prstGeom prst="rect">
                      <a:avLst/>
                    </a:prstGeom>
                    <a:noFill/>
                    <a:ln w="9525">
                      <a:noFill/>
                      <a:miter lim="800000"/>
                      <a:headEnd/>
                      <a:tailEnd/>
                    </a:ln>
                  </pic:spPr>
                </pic:pic>
              </a:graphicData>
            </a:graphic>
          </wp:inline>
        </w:drawing>
      </w:r>
    </w:p>
    <w:p w:rsidR="007579BB" w:rsidRDefault="007579BB" w:rsidP="004E7625">
      <w:pPr>
        <w:pStyle w:val="MFigure"/>
      </w:pPr>
    </w:p>
    <w:p w:rsidR="008658DD" w:rsidRDefault="004E7625" w:rsidP="004E7625">
      <w:pPr>
        <w:pStyle w:val="MText"/>
      </w:pPr>
      <w:r w:rsidRPr="004E7625">
        <w:t>Figure 9 depicts the comparison of the actuators EMI600 and EMI800. Both actuators expand slowly as the relatively low current (I</w:t>
      </w:r>
      <w:r w:rsidRPr="004E7625">
        <w:rPr>
          <w:vertAlign w:val="subscript"/>
        </w:rPr>
        <w:t>C</w:t>
      </w:r>
      <w:r w:rsidRPr="004E7625">
        <w:t xml:space="preserve"> = 50 mA) gives to the systems enough time to charge the double layer of carbon electrodes. The graph given in Fig. 9a indicates that EMI600 is faster than EMI800. After 200 seconds of charging, the actuations of the two systems differ about 4 times and EMI600 requires less charge for the same degree of actuation. When the charge of the actuators reaches 10 C, the difference between the amplitudes of actuation of the two systems is about 4 times.</w:t>
      </w:r>
    </w:p>
    <w:p w:rsidR="004E7625" w:rsidRDefault="00DD509C" w:rsidP="00DD509C">
      <w:pPr>
        <w:pStyle w:val="MTablecaption"/>
      </w:pPr>
      <w:r>
        <w:rPr>
          <w:b/>
        </w:rPr>
        <w:t>Figure 10.</w:t>
      </w:r>
      <w:r>
        <w:t xml:space="preserve"> </w:t>
      </w:r>
      <w:r w:rsidRPr="00DD509C">
        <w:t>Peak actuation in the case of different constant potentials (I</w:t>
      </w:r>
      <w:r w:rsidRPr="00DD509C">
        <w:rPr>
          <w:vertAlign w:val="subscript"/>
        </w:rPr>
        <w:t>C</w:t>
      </w:r>
      <w:r w:rsidRPr="00DD509C">
        <w:t xml:space="preserve"> = 400mA).</w:t>
      </w:r>
    </w:p>
    <w:p w:rsidR="00DD509C" w:rsidRPr="00DD509C" w:rsidRDefault="00DD509C" w:rsidP="00DD509C">
      <w:pPr>
        <w:pStyle w:val="MText"/>
        <w:jc w:val="center"/>
      </w:pPr>
      <w:r>
        <w:rPr>
          <w:noProof/>
          <w:lang w:val="et-EE" w:eastAsia="et-EE"/>
        </w:rPr>
        <w:drawing>
          <wp:inline distT="0" distB="0" distL="0" distR="0">
            <wp:extent cx="2476500" cy="2400300"/>
            <wp:effectExtent l="19050" t="0" r="0" b="0"/>
            <wp:docPr id="4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srcRect/>
                    <a:stretch>
                      <a:fillRect/>
                    </a:stretch>
                  </pic:blipFill>
                  <pic:spPr bwMode="auto">
                    <a:xfrm>
                      <a:off x="0" y="0"/>
                      <a:ext cx="2476500" cy="2400300"/>
                    </a:xfrm>
                    <a:prstGeom prst="rect">
                      <a:avLst/>
                    </a:prstGeom>
                    <a:noFill/>
                    <a:ln w="9525">
                      <a:noFill/>
                      <a:miter lim="800000"/>
                      <a:headEnd/>
                      <a:tailEnd/>
                    </a:ln>
                  </pic:spPr>
                </pic:pic>
              </a:graphicData>
            </a:graphic>
          </wp:inline>
        </w:drawing>
      </w:r>
    </w:p>
    <w:p w:rsidR="008658DD" w:rsidRDefault="008658DD" w:rsidP="00652532">
      <w:pPr>
        <w:pStyle w:val="MFigure"/>
      </w:pPr>
    </w:p>
    <w:p w:rsidR="00DD509C" w:rsidRDefault="00DD509C" w:rsidP="00DD509C">
      <w:pPr>
        <w:pStyle w:val="MText"/>
      </w:pPr>
      <w:r>
        <w:t xml:space="preserve">Figure 10 represents the extreme expansion of the actuators in the case of different constant potentials of the CCCP mode. The highest actuation was generated by EMI600. It reaches its ultimate amplitude of actuation at 2.5 V already, while the actuation of TEA600 and EMI800 are about half lower. In CCCP mode, the actuators consisting of the highly nanoporous carbon TiC-600 exhibit higher motion when compared to the carbon TiC-800 in both electrolytes. The reason of their performance can be revealed by comparing the sizes of the pores of carbon and the sizes of the ions of the ionic liquid. The average nanopore size of TiC-600 is 9.3 Å - approximately close to the size of the </w:t>
      </w:r>
      <w:r>
        <w:lastRenderedPageBreak/>
        <w:t>cations of EMITf. The density of the TiC-600 carbon material is higher than that of TiC-800. 70 % of the pores of the material TiC-600 are smaller than 11 Å, for the material TiC-800 the corresponding value is 50 %. Electrolyte ions</w:t>
      </w:r>
      <w:r w:rsidRPr="00C01391">
        <w:t xml:space="preserve"> </w:t>
      </w:r>
      <w:r>
        <w:t xml:space="preserve">evoke higher dimensional changes when they enter into the nanoporous carbon media with narrower pores. </w:t>
      </w:r>
    </w:p>
    <w:p w:rsidR="008658DD" w:rsidRDefault="00DD509C" w:rsidP="00DD509C">
      <w:pPr>
        <w:pStyle w:val="MText"/>
      </w:pPr>
      <w:r>
        <w:t>EMI</w:t>
      </w:r>
      <w:r w:rsidRPr="00FC13D9">
        <w:rPr>
          <w:vertAlign w:val="superscript"/>
        </w:rPr>
        <w:t>+</w:t>
      </w:r>
      <w:r>
        <w:t xml:space="preserve"> and Tf</w:t>
      </w:r>
      <w:r w:rsidRPr="00FC13D9">
        <w:rPr>
          <w:vertAlign w:val="superscript"/>
        </w:rPr>
        <w:t>-</w:t>
      </w:r>
      <w:r w:rsidRPr="001545E7">
        <w:t xml:space="preserve"> appear in ionic liquid as ion pairs with much larger ionic</w:t>
      </w:r>
      <w:r>
        <w:t xml:space="preserve"> dimensions, compared to TEA</w:t>
      </w:r>
      <w:r w:rsidRPr="00FC13D9">
        <w:rPr>
          <w:vertAlign w:val="superscript"/>
        </w:rPr>
        <w:t>+</w:t>
      </w:r>
      <w:r>
        <w:t xml:space="preserve"> and BF</w:t>
      </w:r>
      <w:r>
        <w:rPr>
          <w:vertAlign w:val="subscript"/>
        </w:rPr>
        <w:t>4</w:t>
      </w:r>
      <w:r>
        <w:rPr>
          <w:vertAlign w:val="superscript"/>
        </w:rPr>
        <w:t>¯</w:t>
      </w:r>
      <w:r>
        <w:t xml:space="preserve"> in PC electrolyte. The volume changes of the actuator depend on the volume difference between cation and anion of the electrolyte used [32].</w:t>
      </w:r>
    </w:p>
    <w:p w:rsidR="00DD509C" w:rsidRDefault="00DD509C" w:rsidP="00DD509C">
      <w:pPr>
        <w:pStyle w:val="MHeading1"/>
      </w:pPr>
      <w:r>
        <w:t>5. Conclusions</w:t>
      </w:r>
    </w:p>
    <w:p w:rsidR="00DD509C" w:rsidRPr="004147C2" w:rsidRDefault="00DD509C" w:rsidP="00DD509C">
      <w:pPr>
        <w:pStyle w:val="MText"/>
      </w:pPr>
      <w:r>
        <w:t>Novel linear electromechanical actuators based on TiC-derived carbon material were prepared and studied. The actuator consist</w:t>
      </w:r>
      <w:r w:rsidR="00FF429F">
        <w:t>s</w:t>
      </w:r>
      <w:r>
        <w:t xml:space="preserve"> of carbon material thin films and an electrolyte. Two different nanoporous carbons were used to prepare actuators combined with TEABF</w:t>
      </w:r>
      <w:r w:rsidRPr="004147C2">
        <w:rPr>
          <w:vertAlign w:val="subscript"/>
        </w:rPr>
        <w:t>4</w:t>
      </w:r>
      <w:r>
        <w:t xml:space="preserve"> in PC and EMITf electrolytes. The method for TiC-derived carbon synthesis offers a unique </w:t>
      </w:r>
      <w:r w:rsidRPr="007A2EEC">
        <w:t xml:space="preserve">control over carbon microstructure and allows </w:t>
      </w:r>
      <w:r>
        <w:t>specific tuned</w:t>
      </w:r>
      <w:r w:rsidRPr="007A2EEC">
        <w:t xml:space="preserve"> porosity </w:t>
      </w:r>
      <w:r>
        <w:t>of the material. Therefore, it is possible to design a structure of CDC material to best suit the electrolyte used, and to enhance the performance of the actuato</w:t>
      </w:r>
      <w:r w:rsidR="00FF429F">
        <w:t xml:space="preserve">rs. During continuous cycling, </w:t>
      </w:r>
      <w:r>
        <w:t>good reproducibility of actuation was observed. Displacement of the actuators was measured simultaneously to the e</w:t>
      </w:r>
      <w:r w:rsidR="00FF429F">
        <w:t>lectrochemical measurements</w:t>
      </w:r>
      <w:r w:rsidR="00BB061E">
        <w:t>,</w:t>
      </w:r>
      <w:r w:rsidR="00FF429F">
        <w:t xml:space="preserve"> and from where</w:t>
      </w:r>
      <w:r>
        <w:t xml:space="preserve"> the electric energy and mechanical energy dependencies</w:t>
      </w:r>
      <w:r w:rsidR="00FF429F">
        <w:t xml:space="preserve"> were calculated</w:t>
      </w:r>
      <w:r>
        <w:t xml:space="preserve">. The mechanical energy generated by an actuator was found to be five orders of amplitude smaller than the electrical energy provided to the actuator during charging, however during discharging at least 80 % of the stored electrical energy can be collected, which improves the efficiency of the actuators by almost two orders of magnitude. The advantage of described linear actuator is not only the considerably high force generated during actuation, but also the long life cycle and high capacitance due to the device being evolved from a material commonly used in supercapacitors. </w:t>
      </w:r>
    </w:p>
    <w:p w:rsidR="00DD509C" w:rsidRDefault="00DD509C" w:rsidP="00DD509C">
      <w:pPr>
        <w:pStyle w:val="MHeading1"/>
      </w:pPr>
      <w:r w:rsidRPr="00DD509C">
        <w:t>Acknowledgements</w:t>
      </w:r>
    </w:p>
    <w:p w:rsidR="00DD509C" w:rsidRPr="00652532" w:rsidRDefault="00DD509C" w:rsidP="00DD509C">
      <w:pPr>
        <w:pStyle w:val="MText"/>
      </w:pPr>
      <w:r>
        <w:t>The authors wish to thank colleagues from Carbon Nanotech Ltd for the kind assistance in preparing CDC carbon. Dr. Gunnar Svensson, Stockholm University, is thanked for the HRTEM study of carbon materials. Financial support from Estonian Ministry of Education and Science, Estonian Information Technology Foundation and CRDF-ESF common grant is very much appreciated.</w:t>
      </w:r>
    </w:p>
    <w:p w:rsidR="00B615DC" w:rsidRDefault="00B615DC" w:rsidP="00DD4FD6">
      <w:pPr>
        <w:pStyle w:val="MHeading1"/>
      </w:pPr>
      <w:r>
        <w:t>References and Notes</w:t>
      </w:r>
    </w:p>
    <w:p w:rsidR="00B615DC" w:rsidRDefault="0008243E" w:rsidP="00B615DC">
      <w:pPr>
        <w:pStyle w:val="MRefer"/>
        <w:rPr>
          <w:lang w:eastAsia="en-US"/>
        </w:rPr>
      </w:pPr>
      <w:r>
        <w:rPr>
          <w:lang w:eastAsia="en-US"/>
        </w:rPr>
        <w:t>1.</w:t>
      </w:r>
      <w:r>
        <w:rPr>
          <w:lang w:eastAsia="en-US"/>
        </w:rPr>
        <w:tab/>
      </w:r>
      <w:r w:rsidR="00551D60">
        <w:rPr>
          <w:lang w:eastAsia="en-US"/>
        </w:rPr>
        <w:t xml:space="preserve">Shahinpoor, M.; </w:t>
      </w:r>
      <w:r w:rsidRPr="0008243E">
        <w:rPr>
          <w:lang w:eastAsia="en-US"/>
        </w:rPr>
        <w:t xml:space="preserve">Kim, K. J.; Novel ionic polymer-metal composites equipped with physically loaded particulate electrodes as biomimetic sensors, actuators and artificial muscles. </w:t>
      </w:r>
      <w:r w:rsidRPr="0008243E">
        <w:rPr>
          <w:i/>
          <w:lang w:eastAsia="en-US"/>
        </w:rPr>
        <w:t>Sens. Actuators, A: Phys</w:t>
      </w:r>
      <w:r w:rsidRPr="0008243E">
        <w:rPr>
          <w:lang w:eastAsia="en-US"/>
        </w:rPr>
        <w:t xml:space="preserve">. </w:t>
      </w:r>
      <w:r w:rsidRPr="0008243E">
        <w:rPr>
          <w:b/>
          <w:lang w:eastAsia="en-US"/>
        </w:rPr>
        <w:t>2002</w:t>
      </w:r>
      <w:r w:rsidR="00C4655D">
        <w:rPr>
          <w:lang w:eastAsia="en-US"/>
        </w:rPr>
        <w:t xml:space="preserve">, </w:t>
      </w:r>
      <w:r w:rsidRPr="0008243E">
        <w:rPr>
          <w:i/>
          <w:lang w:eastAsia="en-US"/>
        </w:rPr>
        <w:t>96</w:t>
      </w:r>
      <w:r w:rsidR="00C4655D">
        <w:rPr>
          <w:i/>
          <w:lang w:eastAsia="en-US"/>
        </w:rPr>
        <w:t>,</w:t>
      </w:r>
      <w:r w:rsidRPr="0008243E">
        <w:rPr>
          <w:lang w:eastAsia="en-US"/>
        </w:rPr>
        <w:t xml:space="preserve"> 125-132.</w:t>
      </w:r>
    </w:p>
    <w:p w:rsidR="00E506A7" w:rsidRPr="00E506A7" w:rsidRDefault="00E506A7" w:rsidP="00E506A7">
      <w:pPr>
        <w:pStyle w:val="MRefer"/>
        <w:rPr>
          <w:lang w:eastAsia="en-US"/>
        </w:rPr>
      </w:pPr>
      <w:r>
        <w:rPr>
          <w:lang w:eastAsia="en-US"/>
        </w:rPr>
        <w:t>2.</w:t>
      </w:r>
      <w:r>
        <w:rPr>
          <w:lang w:eastAsia="en-US"/>
        </w:rPr>
        <w:tab/>
      </w:r>
      <w:r w:rsidRPr="00E506A7">
        <w:rPr>
          <w:lang w:eastAsia="en-US"/>
        </w:rPr>
        <w:t xml:space="preserve">Robinson, J. W. </w:t>
      </w:r>
      <w:r w:rsidRPr="00E506A7">
        <w:rPr>
          <w:i/>
          <w:lang w:eastAsia="en-US"/>
        </w:rPr>
        <w:t>Charge control of ionic polymers.</w:t>
      </w:r>
      <w:r w:rsidRPr="00E506A7">
        <w:rPr>
          <w:lang w:eastAsia="en-US"/>
        </w:rPr>
        <w:t xml:space="preserve"> Blacksburg, Virginia, USA 2005</w:t>
      </w:r>
    </w:p>
    <w:p w:rsidR="00E506A7" w:rsidRPr="00E506A7" w:rsidRDefault="00E506A7" w:rsidP="00E506A7">
      <w:pPr>
        <w:pStyle w:val="MRefer"/>
        <w:rPr>
          <w:lang w:val="fr-FR" w:eastAsia="en-US"/>
        </w:rPr>
      </w:pPr>
      <w:r>
        <w:rPr>
          <w:lang w:eastAsia="en-US"/>
        </w:rPr>
        <w:t>3.</w:t>
      </w:r>
      <w:r>
        <w:rPr>
          <w:lang w:eastAsia="en-US"/>
        </w:rPr>
        <w:tab/>
      </w:r>
      <w:r w:rsidRPr="00E506A7">
        <w:rPr>
          <w:lang w:eastAsia="en-US"/>
        </w:rPr>
        <w:t xml:space="preserve">Punning, A.; Kruusmaa, M.; Aabloo, A. Surface resistance experiments with IPMC sensors and actuators. </w:t>
      </w:r>
      <w:r w:rsidRPr="00E506A7">
        <w:rPr>
          <w:i/>
          <w:lang w:val="fr-FR" w:eastAsia="en-US"/>
        </w:rPr>
        <w:t>Sens. Actuators: A. Phys.</w:t>
      </w:r>
      <w:r w:rsidRPr="00E506A7">
        <w:rPr>
          <w:lang w:val="fr-FR" w:eastAsia="en-US"/>
        </w:rPr>
        <w:t xml:space="preserve"> </w:t>
      </w:r>
      <w:r w:rsidRPr="00E506A7">
        <w:rPr>
          <w:b/>
          <w:lang w:val="fr-FR" w:eastAsia="en-US"/>
        </w:rPr>
        <w:t>2007,</w:t>
      </w:r>
      <w:r w:rsidRPr="00E506A7">
        <w:rPr>
          <w:lang w:val="fr-FR" w:eastAsia="en-US"/>
        </w:rPr>
        <w:t xml:space="preserve"> </w:t>
      </w:r>
      <w:r w:rsidRPr="00E506A7">
        <w:rPr>
          <w:i/>
          <w:lang w:val="fr-FR" w:eastAsia="en-US"/>
        </w:rPr>
        <w:t>133</w:t>
      </w:r>
      <w:r w:rsidRPr="00E506A7">
        <w:rPr>
          <w:lang w:val="fr-FR" w:eastAsia="en-US"/>
        </w:rPr>
        <w:t>, 200-209.</w:t>
      </w:r>
    </w:p>
    <w:p w:rsidR="00E506A7" w:rsidRPr="00E506A7" w:rsidRDefault="00E506A7" w:rsidP="00E506A7">
      <w:pPr>
        <w:pStyle w:val="MRefer"/>
        <w:rPr>
          <w:lang w:val="et-EE" w:eastAsia="en-US"/>
        </w:rPr>
      </w:pPr>
      <w:r>
        <w:rPr>
          <w:lang w:val="fr-FR" w:eastAsia="en-US"/>
        </w:rPr>
        <w:lastRenderedPageBreak/>
        <w:t>4</w:t>
      </w:r>
      <w:r w:rsidR="00CF13F5">
        <w:rPr>
          <w:lang w:val="fr-FR" w:eastAsia="en-US"/>
        </w:rPr>
        <w:t>.</w:t>
      </w:r>
      <w:r>
        <w:rPr>
          <w:lang w:val="fr-FR" w:eastAsia="en-US"/>
        </w:rPr>
        <w:tab/>
      </w:r>
      <w:r w:rsidRPr="00E506A7">
        <w:rPr>
          <w:lang w:val="fr-FR" w:eastAsia="en-US"/>
        </w:rPr>
        <w:t xml:space="preserve">Wilsona, S. A.; Jourdaina, R.-P. J.; Zhanga, Q.; Doreya, R. A.; Bowenb C. R. </w:t>
      </w:r>
      <w:bookmarkStart w:id="1" w:name="bfn1"/>
      <w:bookmarkStart w:id="2" w:name="bfn2"/>
      <w:bookmarkStart w:id="3" w:name="bfn3"/>
      <w:bookmarkStart w:id="4" w:name="bfn5"/>
      <w:bookmarkStart w:id="5" w:name="bfn6"/>
      <w:bookmarkStart w:id="6" w:name="bfn7"/>
      <w:bookmarkStart w:id="7" w:name="bfn8"/>
      <w:bookmarkStart w:id="8" w:name="bfn9"/>
      <w:bookmarkStart w:id="9" w:name="bfn12"/>
      <w:bookmarkStart w:id="10" w:name="bfn13"/>
      <w:bookmarkStart w:id="11" w:name="bfn14"/>
      <w:bookmarkStart w:id="12" w:name="bfn15"/>
      <w:bookmarkStart w:id="13" w:name="bfn16"/>
      <w:bookmarkStart w:id="14" w:name="bfn17"/>
      <w:bookmarkEnd w:id="1"/>
      <w:bookmarkEnd w:id="2"/>
      <w:bookmarkEnd w:id="3"/>
      <w:bookmarkEnd w:id="4"/>
      <w:bookmarkEnd w:id="5"/>
      <w:bookmarkEnd w:id="6"/>
      <w:bookmarkEnd w:id="7"/>
      <w:bookmarkEnd w:id="8"/>
      <w:bookmarkEnd w:id="9"/>
      <w:bookmarkEnd w:id="10"/>
      <w:bookmarkEnd w:id="11"/>
      <w:bookmarkEnd w:id="12"/>
      <w:bookmarkEnd w:id="13"/>
      <w:bookmarkEnd w:id="14"/>
      <w:r w:rsidRPr="00E506A7">
        <w:rPr>
          <w:i/>
          <w:lang w:val="fr-FR" w:eastAsia="en-US"/>
        </w:rPr>
        <w:t>et al.</w:t>
      </w:r>
      <w:r w:rsidRPr="00E506A7">
        <w:rPr>
          <w:lang w:val="fr-FR" w:eastAsia="en-US"/>
        </w:rPr>
        <w:t xml:space="preserve"> </w:t>
      </w:r>
      <w:r w:rsidRPr="00E506A7">
        <w:rPr>
          <w:lang w:val="et-EE" w:eastAsia="en-US"/>
        </w:rPr>
        <w:t xml:space="preserve">New materials for micro-scale sensors and actuators: An engineering review. </w:t>
      </w:r>
      <w:r w:rsidRPr="00E506A7">
        <w:rPr>
          <w:i/>
          <w:lang w:eastAsia="en-US"/>
        </w:rPr>
        <w:t>Materials Science and Engineering: Reports.</w:t>
      </w:r>
      <w:r w:rsidRPr="00E506A7">
        <w:rPr>
          <w:lang w:eastAsia="en-US"/>
        </w:rPr>
        <w:t xml:space="preserve"> </w:t>
      </w:r>
      <w:r w:rsidRPr="00E506A7">
        <w:rPr>
          <w:b/>
          <w:lang w:eastAsia="en-US"/>
        </w:rPr>
        <w:t>2007</w:t>
      </w:r>
      <w:r w:rsidRPr="00E506A7">
        <w:rPr>
          <w:lang w:eastAsia="en-US"/>
        </w:rPr>
        <w:t xml:space="preserve"> </w:t>
      </w:r>
      <w:r w:rsidRPr="00E506A7">
        <w:rPr>
          <w:i/>
          <w:lang w:eastAsia="en-US"/>
        </w:rPr>
        <w:t>56</w:t>
      </w:r>
      <w:r w:rsidRPr="00E506A7">
        <w:rPr>
          <w:lang w:eastAsia="en-US"/>
        </w:rPr>
        <w:t xml:space="preserve"> 1-129. </w:t>
      </w:r>
    </w:p>
    <w:p w:rsidR="00E506A7" w:rsidRPr="00E506A7" w:rsidRDefault="00E506A7" w:rsidP="00E506A7">
      <w:pPr>
        <w:pStyle w:val="MRefer"/>
        <w:rPr>
          <w:lang w:eastAsia="en-US"/>
        </w:rPr>
      </w:pPr>
      <w:r>
        <w:rPr>
          <w:lang w:val="en-GB" w:eastAsia="en-US"/>
        </w:rPr>
        <w:t>5</w:t>
      </w:r>
      <w:r w:rsidR="00CF13F5">
        <w:rPr>
          <w:lang w:val="en-GB" w:eastAsia="en-US"/>
        </w:rPr>
        <w:t>.</w:t>
      </w:r>
      <w:r>
        <w:rPr>
          <w:lang w:val="en-GB" w:eastAsia="en-US"/>
        </w:rPr>
        <w:tab/>
      </w:r>
      <w:r w:rsidRPr="00E506A7">
        <w:rPr>
          <w:lang w:eastAsia="en-US"/>
        </w:rPr>
        <w:t xml:space="preserve">Bar-Cohen Y. </w:t>
      </w:r>
      <w:r w:rsidRPr="00E506A7">
        <w:rPr>
          <w:i/>
          <w:lang w:eastAsia="en-US"/>
        </w:rPr>
        <w:t xml:space="preserve">Electroactive Polymer (EAP) Actuators as Artificial Muscles-Reality, Potential and Challenge, </w:t>
      </w:r>
      <w:r w:rsidRPr="00E506A7">
        <w:rPr>
          <w:lang w:eastAsia="en-US"/>
        </w:rPr>
        <w:t>2</w:t>
      </w:r>
      <w:r w:rsidRPr="00E506A7">
        <w:rPr>
          <w:vertAlign w:val="superscript"/>
          <w:lang w:eastAsia="en-US"/>
        </w:rPr>
        <w:t>nd</w:t>
      </w:r>
      <w:r w:rsidRPr="00E506A7">
        <w:rPr>
          <w:lang w:eastAsia="en-US"/>
        </w:rPr>
        <w:t xml:space="preserve"> Ed.; SPIE Press, San Diego, USA, 2004.</w:t>
      </w:r>
      <w:r w:rsidRPr="00E506A7" w:rsidDel="00AE7EFC">
        <w:rPr>
          <w:lang w:eastAsia="en-US"/>
        </w:rPr>
        <w:t xml:space="preserve"> </w:t>
      </w:r>
    </w:p>
    <w:p w:rsidR="00E506A7" w:rsidRPr="00E506A7" w:rsidRDefault="00E506A7" w:rsidP="00E506A7">
      <w:pPr>
        <w:pStyle w:val="MRefer"/>
        <w:rPr>
          <w:lang w:eastAsia="en-US"/>
        </w:rPr>
      </w:pPr>
      <w:r>
        <w:rPr>
          <w:lang w:eastAsia="en-US"/>
        </w:rPr>
        <w:t>6</w:t>
      </w:r>
      <w:r w:rsidR="00CF13F5">
        <w:rPr>
          <w:lang w:eastAsia="en-US"/>
        </w:rPr>
        <w:t>.</w:t>
      </w:r>
      <w:r>
        <w:rPr>
          <w:lang w:eastAsia="en-US"/>
        </w:rPr>
        <w:tab/>
      </w:r>
      <w:r w:rsidRPr="00E506A7">
        <w:rPr>
          <w:lang w:eastAsia="en-US"/>
        </w:rPr>
        <w:t xml:space="preserve">Baughman, R.H.; Cui, C.; Zakhidov, A.A.; Iqbal, Z.; Barisci, J.N.; Spinks, G.M.; Wallace, G.G.; Mazzoldi, A.; DeRossi, D.; Rinzler, A.; Jaschinski, G.O.; Roth, S.; Kertesz, M.; Carbon Nanotube Actuators, </w:t>
      </w:r>
      <w:r w:rsidRPr="00E506A7">
        <w:rPr>
          <w:i/>
          <w:lang w:eastAsia="en-US"/>
        </w:rPr>
        <w:t>Science</w:t>
      </w:r>
      <w:r w:rsidRPr="00E506A7">
        <w:rPr>
          <w:lang w:eastAsia="en-US"/>
        </w:rPr>
        <w:t xml:space="preserve"> </w:t>
      </w:r>
      <w:r w:rsidRPr="00E506A7">
        <w:rPr>
          <w:b/>
          <w:lang w:eastAsia="en-US"/>
        </w:rPr>
        <w:t>1999</w:t>
      </w:r>
      <w:r w:rsidRPr="00E506A7">
        <w:rPr>
          <w:lang w:eastAsia="en-US"/>
        </w:rPr>
        <w:t xml:space="preserve">, </w:t>
      </w:r>
      <w:r w:rsidRPr="00E506A7">
        <w:rPr>
          <w:i/>
          <w:lang w:eastAsia="en-US"/>
        </w:rPr>
        <w:t>284,</w:t>
      </w:r>
      <w:r w:rsidRPr="00E506A7">
        <w:rPr>
          <w:lang w:eastAsia="en-US"/>
        </w:rPr>
        <w:t xml:space="preserve"> 1340-1344.</w:t>
      </w:r>
    </w:p>
    <w:p w:rsidR="00E506A7" w:rsidRPr="00E506A7" w:rsidRDefault="00E506A7" w:rsidP="00E506A7">
      <w:pPr>
        <w:pStyle w:val="MRefer"/>
        <w:rPr>
          <w:lang w:eastAsia="en-US"/>
        </w:rPr>
      </w:pPr>
      <w:r>
        <w:rPr>
          <w:lang w:eastAsia="en-US"/>
        </w:rPr>
        <w:t>7</w:t>
      </w:r>
      <w:r w:rsidR="00CF13F5">
        <w:rPr>
          <w:lang w:eastAsia="en-US"/>
        </w:rPr>
        <w:t>.</w:t>
      </w:r>
      <w:r>
        <w:rPr>
          <w:lang w:eastAsia="en-US"/>
        </w:rPr>
        <w:tab/>
      </w:r>
      <w:r w:rsidR="009607BE">
        <w:rPr>
          <w:lang w:eastAsia="en-US"/>
        </w:rPr>
        <w:t>Schwarz, J.</w:t>
      </w:r>
      <w:r w:rsidRPr="00E506A7">
        <w:rPr>
          <w:lang w:eastAsia="en-US"/>
        </w:rPr>
        <w:t>A.; Cont</w:t>
      </w:r>
      <w:r w:rsidR="009607BE">
        <w:rPr>
          <w:lang w:eastAsia="en-US"/>
        </w:rPr>
        <w:t>escu, C.</w:t>
      </w:r>
      <w:r w:rsidRPr="00E506A7">
        <w:rPr>
          <w:lang w:eastAsia="en-US"/>
        </w:rPr>
        <w:t xml:space="preserve">I.; Putyera, K. </w:t>
      </w:r>
      <w:r w:rsidRPr="00E506A7">
        <w:rPr>
          <w:i/>
          <w:lang w:eastAsia="en-US"/>
        </w:rPr>
        <w:t>Dekker Encyclopedia of Nanoscience and Nanotechnology</w:t>
      </w:r>
      <w:r w:rsidRPr="00E506A7">
        <w:rPr>
          <w:lang w:eastAsia="en-US"/>
        </w:rPr>
        <w:t>, Taylor &amp; Francis Group,</w:t>
      </w:r>
      <w:r w:rsidR="00BB061E">
        <w:rPr>
          <w:lang w:eastAsia="en-US"/>
        </w:rPr>
        <w:t xml:space="preserve"> USA, 2004; Volume 4, pp. 475-519.</w:t>
      </w:r>
    </w:p>
    <w:p w:rsidR="00E506A7" w:rsidRPr="00E506A7" w:rsidRDefault="00E506A7" w:rsidP="00E506A7">
      <w:pPr>
        <w:pStyle w:val="MRefer"/>
        <w:rPr>
          <w:lang w:eastAsia="en-US"/>
        </w:rPr>
      </w:pPr>
      <w:r>
        <w:rPr>
          <w:lang w:eastAsia="en-US"/>
        </w:rPr>
        <w:t>8</w:t>
      </w:r>
      <w:r w:rsidR="00CF13F5">
        <w:rPr>
          <w:lang w:eastAsia="en-US"/>
        </w:rPr>
        <w:t>.</w:t>
      </w:r>
      <w:r>
        <w:rPr>
          <w:lang w:eastAsia="en-US"/>
        </w:rPr>
        <w:tab/>
      </w:r>
      <w:r w:rsidRPr="00E506A7">
        <w:rPr>
          <w:lang w:eastAsia="en-US"/>
        </w:rPr>
        <w:t xml:space="preserve">Mukai, K.; Asaka, K.; Sugino, T.; Kiyohara, K.; Takeuchi, I.; Terasawa, N.; Futaba, D.N.; Hata, K.; Fukushima, T.; Aida, T. Highly conductive sheets from millimeter-long single-walled carbon nanotubes and ionic liquids: application to fast-moving, low-voltage electromechanical actuators operable in air. </w:t>
      </w:r>
      <w:r w:rsidRPr="00E506A7">
        <w:rPr>
          <w:i/>
          <w:lang w:eastAsia="en-US"/>
        </w:rPr>
        <w:t>Adv. Mater.</w:t>
      </w:r>
      <w:r w:rsidRPr="00E506A7">
        <w:rPr>
          <w:lang w:eastAsia="en-US"/>
        </w:rPr>
        <w:t xml:space="preserve"> </w:t>
      </w:r>
      <w:r w:rsidRPr="00E506A7">
        <w:rPr>
          <w:b/>
          <w:lang w:eastAsia="en-US"/>
        </w:rPr>
        <w:t>2009</w:t>
      </w:r>
      <w:r w:rsidRPr="00E506A7">
        <w:rPr>
          <w:lang w:eastAsia="en-US"/>
        </w:rPr>
        <w:t xml:space="preserve">, </w:t>
      </w:r>
      <w:r w:rsidRPr="00E506A7">
        <w:rPr>
          <w:i/>
          <w:lang w:eastAsia="en-US"/>
        </w:rPr>
        <w:t>21</w:t>
      </w:r>
      <w:r w:rsidRPr="00E506A7">
        <w:rPr>
          <w:lang w:eastAsia="en-US"/>
        </w:rPr>
        <w:t>, 1582–1585.</w:t>
      </w:r>
    </w:p>
    <w:p w:rsidR="00E506A7" w:rsidRPr="00E506A7" w:rsidRDefault="00E506A7" w:rsidP="00E506A7">
      <w:pPr>
        <w:pStyle w:val="MRefer"/>
        <w:rPr>
          <w:lang w:eastAsia="en-US"/>
        </w:rPr>
      </w:pPr>
      <w:r>
        <w:rPr>
          <w:lang w:eastAsia="en-US"/>
        </w:rPr>
        <w:t>9</w:t>
      </w:r>
      <w:r w:rsidR="00CF13F5">
        <w:rPr>
          <w:lang w:eastAsia="en-US"/>
        </w:rPr>
        <w:t>.</w:t>
      </w:r>
      <w:r>
        <w:rPr>
          <w:lang w:eastAsia="en-US"/>
        </w:rPr>
        <w:tab/>
      </w:r>
      <w:r w:rsidRPr="00E506A7">
        <w:rPr>
          <w:lang w:eastAsia="en-US"/>
        </w:rPr>
        <w:t xml:space="preserve">Takaeuchi, I.; Asaka, K.; Kiyohara, K.; Sugino, T.; Terasawa, N.; Mukai, K.; Fukushima, T.; Aida, T.; Electromechanical behavior of fully plastic actuators based on bucky gel containing various internal liquids. </w:t>
      </w:r>
      <w:r w:rsidRPr="00E506A7">
        <w:rPr>
          <w:i/>
          <w:lang w:eastAsia="en-US"/>
        </w:rPr>
        <w:t>Elecrochimica Acta</w:t>
      </w:r>
      <w:r w:rsidRPr="00E506A7">
        <w:rPr>
          <w:lang w:eastAsia="en-US"/>
        </w:rPr>
        <w:t xml:space="preserve"> </w:t>
      </w:r>
      <w:r w:rsidRPr="00E506A7">
        <w:rPr>
          <w:b/>
          <w:lang w:eastAsia="en-US"/>
        </w:rPr>
        <w:t>2009</w:t>
      </w:r>
      <w:r w:rsidRPr="00E506A7">
        <w:rPr>
          <w:lang w:eastAsia="en-US"/>
        </w:rPr>
        <w:t xml:space="preserve">, </w:t>
      </w:r>
      <w:r w:rsidRPr="00E506A7">
        <w:rPr>
          <w:i/>
          <w:lang w:eastAsia="en-US"/>
        </w:rPr>
        <w:t>54</w:t>
      </w:r>
      <w:r w:rsidRPr="00E506A7">
        <w:rPr>
          <w:lang w:eastAsia="en-US"/>
        </w:rPr>
        <w:t>, 1762-1768.</w:t>
      </w:r>
    </w:p>
    <w:p w:rsidR="00E506A7" w:rsidRPr="00E506A7" w:rsidRDefault="00E506A7" w:rsidP="00E506A7">
      <w:pPr>
        <w:pStyle w:val="MRefer"/>
        <w:rPr>
          <w:lang w:eastAsia="en-US"/>
        </w:rPr>
      </w:pPr>
      <w:r w:rsidRPr="00E506A7">
        <w:rPr>
          <w:lang w:eastAsia="en-US"/>
        </w:rPr>
        <w:t>10</w:t>
      </w:r>
      <w:r w:rsidR="00CF13F5">
        <w:rPr>
          <w:lang w:eastAsia="en-US"/>
        </w:rPr>
        <w:t>.</w:t>
      </w:r>
      <w:r>
        <w:rPr>
          <w:lang w:eastAsia="en-US"/>
        </w:rPr>
        <w:tab/>
      </w:r>
      <w:r w:rsidRPr="00E506A7">
        <w:rPr>
          <w:lang w:eastAsia="en-US"/>
        </w:rPr>
        <w:t xml:space="preserve">Guangli, C.; Miller, S.A.; Fisher, E.R.; Martin, C.R. An electrochemically driven actuator based on a nanostructured carbon. </w:t>
      </w:r>
      <w:r w:rsidRPr="00E506A7">
        <w:rPr>
          <w:i/>
          <w:lang w:eastAsia="en-US"/>
        </w:rPr>
        <w:t>Material. Anal. Chem.</w:t>
      </w:r>
      <w:r w:rsidRPr="00E506A7">
        <w:rPr>
          <w:lang w:eastAsia="en-US"/>
        </w:rPr>
        <w:t xml:space="preserve"> </w:t>
      </w:r>
      <w:r w:rsidRPr="00E506A7">
        <w:rPr>
          <w:b/>
          <w:lang w:eastAsia="en-US"/>
        </w:rPr>
        <w:t>1999</w:t>
      </w:r>
      <w:r w:rsidRPr="00E506A7">
        <w:rPr>
          <w:lang w:eastAsia="en-US"/>
        </w:rPr>
        <w:t xml:space="preserve">, </w:t>
      </w:r>
      <w:r w:rsidRPr="00E506A7">
        <w:rPr>
          <w:i/>
          <w:lang w:eastAsia="en-US"/>
        </w:rPr>
        <w:t>71</w:t>
      </w:r>
      <w:r w:rsidRPr="00E506A7">
        <w:rPr>
          <w:lang w:eastAsia="en-US"/>
        </w:rPr>
        <w:t>, 3187 -3191.</w:t>
      </w:r>
    </w:p>
    <w:p w:rsidR="00E506A7" w:rsidRPr="00E506A7" w:rsidRDefault="00E506A7" w:rsidP="00E506A7">
      <w:pPr>
        <w:pStyle w:val="MRefer"/>
        <w:rPr>
          <w:lang w:eastAsia="en-US"/>
        </w:rPr>
      </w:pPr>
      <w:r>
        <w:rPr>
          <w:lang w:eastAsia="en-US"/>
        </w:rPr>
        <w:t>11</w:t>
      </w:r>
      <w:r w:rsidR="00CF13F5">
        <w:rPr>
          <w:lang w:eastAsia="en-US"/>
        </w:rPr>
        <w:t>.</w:t>
      </w:r>
      <w:r>
        <w:rPr>
          <w:lang w:eastAsia="en-US"/>
        </w:rPr>
        <w:tab/>
      </w:r>
      <w:r w:rsidRPr="00E506A7">
        <w:rPr>
          <w:lang w:eastAsia="en-US"/>
        </w:rPr>
        <w:t xml:space="preserve">Akle, B.J.; Leo, D.J. Single-walled carbon nanotubes - Ionic polymer electroactive hybrid transducers. </w:t>
      </w:r>
      <w:r w:rsidRPr="00E506A7">
        <w:rPr>
          <w:i/>
          <w:lang w:eastAsia="en-US"/>
        </w:rPr>
        <w:t>Journal of Intelligent Material Systems and Structures</w:t>
      </w:r>
      <w:r w:rsidRPr="00E506A7">
        <w:rPr>
          <w:lang w:eastAsia="en-US"/>
        </w:rPr>
        <w:t xml:space="preserve"> </w:t>
      </w:r>
      <w:r w:rsidRPr="00E506A7">
        <w:rPr>
          <w:b/>
          <w:lang w:eastAsia="en-US"/>
        </w:rPr>
        <w:t>2008</w:t>
      </w:r>
      <w:r w:rsidRPr="00E506A7">
        <w:rPr>
          <w:lang w:eastAsia="en-US"/>
        </w:rPr>
        <w:t xml:space="preserve">, </w:t>
      </w:r>
      <w:r w:rsidRPr="00E506A7">
        <w:rPr>
          <w:i/>
          <w:lang w:eastAsia="en-US"/>
        </w:rPr>
        <w:t>19</w:t>
      </w:r>
      <w:r w:rsidRPr="00E506A7">
        <w:rPr>
          <w:lang w:eastAsia="en-US"/>
        </w:rPr>
        <w:t>, 905-915.</w:t>
      </w:r>
    </w:p>
    <w:p w:rsidR="00E506A7" w:rsidRPr="00E506A7" w:rsidRDefault="00E506A7" w:rsidP="00E506A7">
      <w:pPr>
        <w:pStyle w:val="MRefer"/>
        <w:rPr>
          <w:lang w:eastAsia="en-US"/>
        </w:rPr>
      </w:pPr>
      <w:r>
        <w:rPr>
          <w:lang w:eastAsia="en-US"/>
        </w:rPr>
        <w:t>12</w:t>
      </w:r>
      <w:r w:rsidR="00CF13F5">
        <w:rPr>
          <w:lang w:eastAsia="en-US"/>
        </w:rPr>
        <w:t>.</w:t>
      </w:r>
      <w:r>
        <w:rPr>
          <w:lang w:eastAsia="en-US"/>
        </w:rPr>
        <w:tab/>
      </w:r>
      <w:r w:rsidRPr="00E506A7">
        <w:rPr>
          <w:lang w:eastAsia="en-US"/>
        </w:rPr>
        <w:t xml:space="preserve">Baughman, R.H. Conducting polymer artificial muscles, synthetic metals </w:t>
      </w:r>
      <w:r w:rsidRPr="00E506A7">
        <w:rPr>
          <w:b/>
          <w:lang w:eastAsia="en-US"/>
        </w:rPr>
        <w:t>1996</w:t>
      </w:r>
      <w:r w:rsidRPr="00E506A7">
        <w:rPr>
          <w:lang w:eastAsia="en-US"/>
        </w:rPr>
        <w:t xml:space="preserve">, </w:t>
      </w:r>
      <w:r w:rsidRPr="00E506A7">
        <w:rPr>
          <w:i/>
          <w:lang w:eastAsia="en-US"/>
        </w:rPr>
        <w:t>78</w:t>
      </w:r>
      <w:r w:rsidRPr="00E506A7">
        <w:rPr>
          <w:lang w:eastAsia="en-US"/>
        </w:rPr>
        <w:t>, 339-353.</w:t>
      </w:r>
    </w:p>
    <w:p w:rsidR="00E506A7" w:rsidRPr="00E506A7" w:rsidRDefault="00E506A7" w:rsidP="00E506A7">
      <w:pPr>
        <w:pStyle w:val="MRefer"/>
        <w:rPr>
          <w:lang w:eastAsia="en-US"/>
        </w:rPr>
      </w:pPr>
      <w:r>
        <w:rPr>
          <w:lang w:eastAsia="en-US"/>
        </w:rPr>
        <w:t>13</w:t>
      </w:r>
      <w:r w:rsidR="00CF13F5">
        <w:rPr>
          <w:lang w:eastAsia="en-US"/>
        </w:rPr>
        <w:t>.</w:t>
      </w:r>
      <w:r>
        <w:rPr>
          <w:lang w:eastAsia="en-US"/>
        </w:rPr>
        <w:tab/>
      </w:r>
      <w:r w:rsidRPr="00E506A7">
        <w:rPr>
          <w:lang w:eastAsia="en-US"/>
        </w:rPr>
        <w:t xml:space="preserve">Mazzoldi, D.D.; Baughman, R.H.; Electro-mechanical behavior of carbon Nanotube sheets in electrochemical actuators. </w:t>
      </w:r>
      <w:r w:rsidRPr="00E506A7">
        <w:rPr>
          <w:i/>
          <w:lang w:eastAsia="en-US"/>
        </w:rPr>
        <w:t>Electroactive Polymer Actuators and Devices</w:t>
      </w:r>
      <w:r w:rsidRPr="00E506A7">
        <w:rPr>
          <w:lang w:eastAsia="en-US"/>
        </w:rPr>
        <w:t>, In: 7</w:t>
      </w:r>
      <w:r w:rsidRPr="00E506A7">
        <w:rPr>
          <w:vertAlign w:val="superscript"/>
          <w:lang w:eastAsia="en-US"/>
        </w:rPr>
        <w:t>th</w:t>
      </w:r>
      <w:r w:rsidRPr="00E506A7">
        <w:rPr>
          <w:lang w:eastAsia="en-US"/>
        </w:rPr>
        <w:t xml:space="preserve"> SPIE International Symposium, Smart Structures and Materials, 2000, 25-32.</w:t>
      </w:r>
    </w:p>
    <w:p w:rsidR="00E506A7" w:rsidRPr="00E506A7" w:rsidRDefault="00E506A7" w:rsidP="00E506A7">
      <w:pPr>
        <w:pStyle w:val="MRefer"/>
        <w:rPr>
          <w:lang w:eastAsia="en-US"/>
        </w:rPr>
      </w:pPr>
      <w:r>
        <w:rPr>
          <w:lang w:eastAsia="en-US"/>
        </w:rPr>
        <w:t>14</w:t>
      </w:r>
      <w:r w:rsidR="00CF13F5">
        <w:rPr>
          <w:lang w:eastAsia="en-US"/>
        </w:rPr>
        <w:t>.</w:t>
      </w:r>
      <w:r>
        <w:rPr>
          <w:lang w:eastAsia="en-US"/>
        </w:rPr>
        <w:tab/>
      </w:r>
      <w:r w:rsidRPr="00E506A7">
        <w:rPr>
          <w:lang w:eastAsia="en-US"/>
        </w:rPr>
        <w:t xml:space="preserve">Roth, S.; Baughman, R.H. Actuators of individual carbon nanotubes, </w:t>
      </w:r>
      <w:r w:rsidRPr="00E506A7">
        <w:rPr>
          <w:i/>
          <w:lang w:eastAsia="en-US"/>
        </w:rPr>
        <w:t>Current Applied Physics</w:t>
      </w:r>
      <w:r w:rsidRPr="00E506A7">
        <w:rPr>
          <w:lang w:eastAsia="en-US"/>
        </w:rPr>
        <w:t xml:space="preserve"> </w:t>
      </w:r>
      <w:r w:rsidRPr="00E506A7">
        <w:rPr>
          <w:b/>
          <w:lang w:eastAsia="en-US"/>
        </w:rPr>
        <w:t>2002</w:t>
      </w:r>
      <w:r w:rsidRPr="00E506A7">
        <w:rPr>
          <w:lang w:eastAsia="en-US"/>
        </w:rPr>
        <w:t xml:space="preserve">, </w:t>
      </w:r>
      <w:r w:rsidRPr="00E506A7">
        <w:rPr>
          <w:i/>
          <w:lang w:eastAsia="en-US"/>
        </w:rPr>
        <w:t>2</w:t>
      </w:r>
      <w:r w:rsidRPr="00E506A7">
        <w:rPr>
          <w:lang w:eastAsia="en-US"/>
        </w:rPr>
        <w:t>, 311-314.</w:t>
      </w:r>
    </w:p>
    <w:p w:rsidR="00E506A7" w:rsidRPr="00E506A7" w:rsidRDefault="00E506A7" w:rsidP="00E506A7">
      <w:pPr>
        <w:pStyle w:val="MRefer"/>
        <w:rPr>
          <w:lang w:eastAsia="en-US"/>
        </w:rPr>
      </w:pPr>
      <w:r>
        <w:rPr>
          <w:lang w:eastAsia="en-US"/>
        </w:rPr>
        <w:t>15</w:t>
      </w:r>
      <w:r w:rsidR="00CF13F5">
        <w:rPr>
          <w:lang w:eastAsia="en-US"/>
        </w:rPr>
        <w:t>.</w:t>
      </w:r>
      <w:r>
        <w:rPr>
          <w:lang w:eastAsia="en-US"/>
        </w:rPr>
        <w:tab/>
      </w:r>
      <w:r w:rsidRPr="00E506A7">
        <w:rPr>
          <w:lang w:eastAsia="en-US"/>
        </w:rPr>
        <w:t xml:space="preserve">Mukai, K.; Asaka, K.; Kiyohara, K.; Sugino, T.; Takeuchi, I.; Fukushima, T.; Aida, T. High performance fully plastic actuator based on ionic-liquid-based bucky gel. </w:t>
      </w:r>
      <w:r w:rsidRPr="00E506A7">
        <w:rPr>
          <w:i/>
          <w:lang w:eastAsia="en-US"/>
        </w:rPr>
        <w:t>Electrochim. Acta</w:t>
      </w:r>
      <w:r w:rsidRPr="00E506A7">
        <w:rPr>
          <w:lang w:eastAsia="en-US"/>
        </w:rPr>
        <w:t xml:space="preserve"> </w:t>
      </w:r>
      <w:r w:rsidRPr="00E506A7">
        <w:rPr>
          <w:b/>
          <w:lang w:eastAsia="en-US"/>
        </w:rPr>
        <w:t>2008</w:t>
      </w:r>
      <w:r w:rsidRPr="00E506A7">
        <w:rPr>
          <w:lang w:eastAsia="en-US"/>
        </w:rPr>
        <w:t xml:space="preserve">, </w:t>
      </w:r>
      <w:r w:rsidRPr="00E506A7">
        <w:rPr>
          <w:i/>
          <w:lang w:eastAsia="en-US"/>
        </w:rPr>
        <w:t>53</w:t>
      </w:r>
      <w:r w:rsidRPr="00E506A7">
        <w:rPr>
          <w:lang w:eastAsia="en-US"/>
        </w:rPr>
        <w:t>, 5555-5562.</w:t>
      </w:r>
    </w:p>
    <w:p w:rsidR="00E506A7" w:rsidRPr="00E506A7" w:rsidRDefault="00E506A7" w:rsidP="00E506A7">
      <w:pPr>
        <w:pStyle w:val="MRefer"/>
        <w:rPr>
          <w:lang w:eastAsia="en-US"/>
        </w:rPr>
      </w:pPr>
      <w:r>
        <w:rPr>
          <w:lang w:eastAsia="en-US"/>
        </w:rPr>
        <w:t>16</w:t>
      </w:r>
      <w:r w:rsidR="00CF13F5">
        <w:rPr>
          <w:lang w:eastAsia="en-US"/>
        </w:rPr>
        <w:t>.</w:t>
      </w:r>
      <w:r>
        <w:rPr>
          <w:lang w:eastAsia="en-US"/>
        </w:rPr>
        <w:tab/>
      </w:r>
      <w:r w:rsidRPr="00E506A7">
        <w:rPr>
          <w:lang w:eastAsia="en-US"/>
        </w:rPr>
        <w:t>Campana, F.P.; Hahn, M.; Foelske, A.; Ruch, P.; Kötz, R.; Siegenthaler, H. Intercalation into and film formation on pyrolytic graphite in a supercapacitor-type electrolyte (C</w:t>
      </w:r>
      <w:r w:rsidRPr="00E506A7">
        <w:rPr>
          <w:vertAlign w:val="subscript"/>
          <w:lang w:eastAsia="en-US"/>
        </w:rPr>
        <w:t>2</w:t>
      </w:r>
      <w:r w:rsidRPr="00E506A7">
        <w:rPr>
          <w:lang w:eastAsia="en-US"/>
        </w:rPr>
        <w:t>H</w:t>
      </w:r>
      <w:r w:rsidRPr="00E506A7">
        <w:rPr>
          <w:vertAlign w:val="subscript"/>
          <w:lang w:eastAsia="en-US"/>
        </w:rPr>
        <w:t>5</w:t>
      </w:r>
      <w:r w:rsidRPr="00E506A7">
        <w:rPr>
          <w:lang w:eastAsia="en-US"/>
        </w:rPr>
        <w:t>)</w:t>
      </w:r>
      <w:r w:rsidRPr="00E506A7">
        <w:rPr>
          <w:vertAlign w:val="subscript"/>
          <w:lang w:eastAsia="en-US"/>
        </w:rPr>
        <w:t>4</w:t>
      </w:r>
      <w:r w:rsidRPr="00E506A7">
        <w:rPr>
          <w:lang w:eastAsia="en-US"/>
        </w:rPr>
        <w:t>NBF</w:t>
      </w:r>
      <w:r w:rsidRPr="00E506A7">
        <w:rPr>
          <w:vertAlign w:val="subscript"/>
          <w:lang w:eastAsia="en-US"/>
        </w:rPr>
        <w:t>4</w:t>
      </w:r>
      <w:r w:rsidRPr="00E506A7">
        <w:rPr>
          <w:lang w:eastAsia="en-US"/>
        </w:rPr>
        <w:t xml:space="preserve"> /propylene carbonate. </w:t>
      </w:r>
      <w:r w:rsidRPr="00E506A7">
        <w:rPr>
          <w:i/>
          <w:lang w:eastAsia="en-US"/>
        </w:rPr>
        <w:t>Electrochem. Comm.</w:t>
      </w:r>
      <w:r w:rsidRPr="00E506A7">
        <w:rPr>
          <w:lang w:eastAsia="en-US"/>
        </w:rPr>
        <w:t xml:space="preserve"> </w:t>
      </w:r>
      <w:r w:rsidRPr="00E506A7">
        <w:rPr>
          <w:b/>
          <w:lang w:eastAsia="en-US"/>
        </w:rPr>
        <w:t>2006</w:t>
      </w:r>
      <w:r w:rsidRPr="00E506A7">
        <w:rPr>
          <w:lang w:eastAsia="en-US"/>
        </w:rPr>
        <w:t xml:space="preserve">, </w:t>
      </w:r>
      <w:r w:rsidRPr="00E506A7">
        <w:rPr>
          <w:i/>
          <w:lang w:eastAsia="en-US"/>
        </w:rPr>
        <w:t>8</w:t>
      </w:r>
      <w:r w:rsidRPr="00E506A7">
        <w:rPr>
          <w:lang w:eastAsia="en-US"/>
        </w:rPr>
        <w:t>, 1363-1368.</w:t>
      </w:r>
    </w:p>
    <w:p w:rsidR="00E506A7" w:rsidRPr="00E506A7" w:rsidRDefault="00E506A7" w:rsidP="00E506A7">
      <w:pPr>
        <w:pStyle w:val="MRefer"/>
        <w:rPr>
          <w:lang w:eastAsia="en-US"/>
        </w:rPr>
      </w:pPr>
      <w:r>
        <w:rPr>
          <w:lang w:eastAsia="en-US"/>
        </w:rPr>
        <w:t>17</w:t>
      </w:r>
      <w:r w:rsidR="00CF13F5">
        <w:rPr>
          <w:lang w:eastAsia="en-US"/>
        </w:rPr>
        <w:t>.</w:t>
      </w:r>
      <w:r>
        <w:rPr>
          <w:lang w:eastAsia="en-US"/>
        </w:rPr>
        <w:tab/>
      </w:r>
      <w:r w:rsidRPr="00E506A7">
        <w:rPr>
          <w:lang w:eastAsia="en-US"/>
        </w:rPr>
        <w:t xml:space="preserve">Hahn, M.; Barbieri, O.; Gallay, R.; Kötz, R. A dilatometric study of the voltage limitation of carbonaceous electrodes in aprotic EDLC type electrolytes by charge-induced strain. </w:t>
      </w:r>
      <w:r w:rsidRPr="00E506A7">
        <w:rPr>
          <w:i/>
          <w:lang w:eastAsia="en-US"/>
        </w:rPr>
        <w:t>Carbon</w:t>
      </w:r>
      <w:r w:rsidRPr="00E506A7">
        <w:rPr>
          <w:lang w:eastAsia="en-US"/>
        </w:rPr>
        <w:t xml:space="preserve"> 2006, 44, 2523-2533. </w:t>
      </w:r>
    </w:p>
    <w:p w:rsidR="00E506A7" w:rsidRPr="00E506A7" w:rsidRDefault="00E506A7" w:rsidP="00E506A7">
      <w:pPr>
        <w:pStyle w:val="MRefer"/>
        <w:rPr>
          <w:lang w:eastAsia="en-US"/>
        </w:rPr>
      </w:pPr>
      <w:r>
        <w:rPr>
          <w:lang w:eastAsia="en-US"/>
        </w:rPr>
        <w:t>18</w:t>
      </w:r>
      <w:r w:rsidR="00CF13F5">
        <w:rPr>
          <w:lang w:eastAsia="en-US"/>
        </w:rPr>
        <w:t>.</w:t>
      </w:r>
      <w:r>
        <w:rPr>
          <w:lang w:eastAsia="en-US"/>
        </w:rPr>
        <w:tab/>
      </w:r>
      <w:r w:rsidRPr="00E506A7">
        <w:rPr>
          <w:lang w:eastAsia="en-US"/>
        </w:rPr>
        <w:t xml:space="preserve">Hahn, M.; Barbieri, O.; Campana, F.P.; Kötz, R.; Gallay, R. Carbon based double layer capacitors with aprotic electrolyte solutions: the possible role of intercalation/insertion processes. </w:t>
      </w:r>
      <w:r w:rsidRPr="00E506A7">
        <w:rPr>
          <w:i/>
          <w:lang w:eastAsia="en-US"/>
        </w:rPr>
        <w:t>Applied Physics A</w:t>
      </w:r>
      <w:r w:rsidRPr="00E506A7">
        <w:rPr>
          <w:lang w:eastAsia="en-US"/>
        </w:rPr>
        <w:t xml:space="preserve"> </w:t>
      </w:r>
      <w:r w:rsidRPr="00E506A7">
        <w:rPr>
          <w:b/>
          <w:lang w:eastAsia="en-US"/>
        </w:rPr>
        <w:t>2006</w:t>
      </w:r>
      <w:r w:rsidRPr="00E506A7">
        <w:rPr>
          <w:lang w:eastAsia="en-US"/>
        </w:rPr>
        <w:t xml:space="preserve">, </w:t>
      </w:r>
      <w:r w:rsidRPr="00E506A7">
        <w:rPr>
          <w:i/>
          <w:lang w:eastAsia="en-US"/>
        </w:rPr>
        <w:t>82</w:t>
      </w:r>
      <w:r w:rsidRPr="00E506A7">
        <w:rPr>
          <w:lang w:eastAsia="en-US"/>
        </w:rPr>
        <w:t xml:space="preserve">, 633-638. </w:t>
      </w:r>
    </w:p>
    <w:p w:rsidR="00E506A7" w:rsidRPr="00E506A7" w:rsidRDefault="00E506A7" w:rsidP="00E506A7">
      <w:pPr>
        <w:pStyle w:val="MRefer"/>
        <w:rPr>
          <w:lang w:eastAsia="en-US"/>
        </w:rPr>
      </w:pPr>
      <w:r>
        <w:rPr>
          <w:lang w:eastAsia="en-US"/>
        </w:rPr>
        <w:t>19</w:t>
      </w:r>
      <w:r w:rsidR="00CF13F5">
        <w:rPr>
          <w:lang w:eastAsia="en-US"/>
        </w:rPr>
        <w:t>.</w:t>
      </w:r>
      <w:r>
        <w:rPr>
          <w:lang w:eastAsia="en-US"/>
        </w:rPr>
        <w:tab/>
      </w:r>
      <w:r w:rsidRPr="00E506A7">
        <w:rPr>
          <w:lang w:eastAsia="en-US"/>
        </w:rPr>
        <w:t xml:space="preserve">Ruch, P.; Hahn, M.; Rosciano, F.; Holzapfel, M.; Kaiser, H.; Scheifele, W.; Schmitt, B.; Novák, P.; Kötz, R.; Wokaun, A; </w:t>
      </w:r>
      <w:r w:rsidRPr="00E506A7">
        <w:rPr>
          <w:i/>
          <w:lang w:eastAsia="en-US"/>
        </w:rPr>
        <w:t>In situ</w:t>
      </w:r>
      <w:r w:rsidRPr="00E506A7">
        <w:rPr>
          <w:lang w:eastAsia="en-US"/>
        </w:rPr>
        <w:t xml:space="preserve"> X-ray diffraction of the intercalation of (C</w:t>
      </w:r>
      <w:r w:rsidRPr="00E506A7">
        <w:rPr>
          <w:vertAlign w:val="subscript"/>
          <w:lang w:eastAsia="en-US"/>
        </w:rPr>
        <w:t>2</w:t>
      </w:r>
      <w:r w:rsidRPr="00E506A7">
        <w:rPr>
          <w:lang w:eastAsia="en-US"/>
        </w:rPr>
        <w:t>H</w:t>
      </w:r>
      <w:r w:rsidRPr="00E506A7">
        <w:rPr>
          <w:vertAlign w:val="subscript"/>
          <w:lang w:eastAsia="en-US"/>
        </w:rPr>
        <w:t>5</w:t>
      </w:r>
      <w:r w:rsidRPr="00E506A7">
        <w:rPr>
          <w:lang w:eastAsia="en-US"/>
        </w:rPr>
        <w:t>)</w:t>
      </w:r>
      <w:r w:rsidRPr="00E506A7">
        <w:rPr>
          <w:vertAlign w:val="subscript"/>
          <w:lang w:eastAsia="en-US"/>
        </w:rPr>
        <w:t>4</w:t>
      </w:r>
      <w:r w:rsidRPr="00E506A7">
        <w:rPr>
          <w:lang w:eastAsia="en-US"/>
        </w:rPr>
        <w:t>N</w:t>
      </w:r>
      <w:r w:rsidRPr="00E506A7">
        <w:rPr>
          <w:vertAlign w:val="superscript"/>
          <w:lang w:eastAsia="en-US"/>
        </w:rPr>
        <w:t>+</w:t>
      </w:r>
      <w:r w:rsidRPr="00E506A7">
        <w:rPr>
          <w:lang w:eastAsia="en-US"/>
        </w:rPr>
        <w:t xml:space="preserve"> and BF</w:t>
      </w:r>
      <w:r w:rsidRPr="00E506A7">
        <w:rPr>
          <w:vertAlign w:val="subscript"/>
          <w:lang w:eastAsia="en-US"/>
        </w:rPr>
        <w:t>4</w:t>
      </w:r>
      <w:r w:rsidRPr="00E506A7">
        <w:rPr>
          <w:vertAlign w:val="superscript"/>
          <w:lang w:eastAsia="en-US"/>
        </w:rPr>
        <w:t>−</w:t>
      </w:r>
      <w:r w:rsidRPr="00E506A7">
        <w:rPr>
          <w:lang w:eastAsia="en-US"/>
        </w:rPr>
        <w:t xml:space="preserve"> into </w:t>
      </w:r>
      <w:r w:rsidRPr="00E506A7">
        <w:rPr>
          <w:lang w:eastAsia="en-US"/>
        </w:rPr>
        <w:lastRenderedPageBreak/>
        <w:t xml:space="preserve">graphite from acetonitrile and propylene carbonate based supercapacitor electrolytes. </w:t>
      </w:r>
      <w:r w:rsidRPr="00E506A7">
        <w:rPr>
          <w:i/>
          <w:lang w:eastAsia="en-US"/>
        </w:rPr>
        <w:t>Electrochim. Acta</w:t>
      </w:r>
      <w:r w:rsidRPr="00E506A7">
        <w:rPr>
          <w:lang w:eastAsia="en-US"/>
        </w:rPr>
        <w:t xml:space="preserve"> </w:t>
      </w:r>
      <w:r w:rsidRPr="00E506A7">
        <w:rPr>
          <w:b/>
          <w:lang w:eastAsia="en-US"/>
        </w:rPr>
        <w:t>2007</w:t>
      </w:r>
      <w:r w:rsidRPr="00E506A7">
        <w:rPr>
          <w:lang w:eastAsia="en-US"/>
        </w:rPr>
        <w:t xml:space="preserve">, </w:t>
      </w:r>
      <w:r w:rsidRPr="00E506A7">
        <w:rPr>
          <w:i/>
          <w:lang w:eastAsia="en-US"/>
        </w:rPr>
        <w:t>53</w:t>
      </w:r>
      <w:r w:rsidRPr="00E506A7">
        <w:rPr>
          <w:lang w:eastAsia="en-US"/>
        </w:rPr>
        <w:t>, 1074-1082.</w:t>
      </w:r>
    </w:p>
    <w:p w:rsidR="00E506A7" w:rsidRPr="00E506A7" w:rsidRDefault="00E506A7" w:rsidP="00E506A7">
      <w:pPr>
        <w:pStyle w:val="MRefer"/>
        <w:rPr>
          <w:lang w:eastAsia="en-US"/>
        </w:rPr>
      </w:pPr>
      <w:r>
        <w:rPr>
          <w:lang w:eastAsia="en-US"/>
        </w:rPr>
        <w:t>20</w:t>
      </w:r>
      <w:r w:rsidR="00CF13F5">
        <w:rPr>
          <w:lang w:eastAsia="en-US"/>
        </w:rPr>
        <w:t>.</w:t>
      </w:r>
      <w:r>
        <w:rPr>
          <w:lang w:eastAsia="en-US"/>
        </w:rPr>
        <w:tab/>
      </w:r>
      <w:r w:rsidRPr="00E506A7">
        <w:rPr>
          <w:lang w:eastAsia="en-US"/>
        </w:rPr>
        <w:t xml:space="preserve">Smart, L.E.; Moore A.E. </w:t>
      </w:r>
      <w:r w:rsidRPr="00E506A7">
        <w:rPr>
          <w:i/>
          <w:lang w:eastAsia="en-US"/>
        </w:rPr>
        <w:t>Solid State Chemistry: An introduction.</w:t>
      </w:r>
      <w:r w:rsidRPr="00E506A7">
        <w:rPr>
          <w:lang w:eastAsia="en-US"/>
        </w:rPr>
        <w:t xml:space="preserve"> CRC Press, Boca Raton, USA, 2005.</w:t>
      </w:r>
    </w:p>
    <w:p w:rsidR="00E506A7" w:rsidRPr="00E506A7" w:rsidRDefault="00E506A7" w:rsidP="00E506A7">
      <w:pPr>
        <w:pStyle w:val="MRefer"/>
        <w:rPr>
          <w:lang w:eastAsia="en-US"/>
        </w:rPr>
      </w:pPr>
      <w:r>
        <w:rPr>
          <w:lang w:eastAsia="en-US"/>
        </w:rPr>
        <w:t>21</w:t>
      </w:r>
      <w:r w:rsidR="00CF13F5">
        <w:rPr>
          <w:lang w:eastAsia="en-US"/>
        </w:rPr>
        <w:t>.</w:t>
      </w:r>
      <w:r>
        <w:rPr>
          <w:lang w:eastAsia="en-US"/>
        </w:rPr>
        <w:tab/>
      </w:r>
      <w:r w:rsidRPr="00E506A7">
        <w:rPr>
          <w:lang w:eastAsia="en-US"/>
        </w:rPr>
        <w:t xml:space="preserve">Hahn, M.; Barbieri, O.; Campana, M.; Gallay, R.; Kötz, R. Charge-induced dimensional changes in electrochemical double layer capacitors. </w:t>
      </w:r>
      <w:r w:rsidRPr="00E506A7">
        <w:rPr>
          <w:i/>
          <w:lang w:eastAsia="en-US"/>
        </w:rPr>
        <w:t>In: Proc. 14</w:t>
      </w:r>
      <w:r w:rsidRPr="00E506A7">
        <w:rPr>
          <w:i/>
          <w:vertAlign w:val="superscript"/>
          <w:lang w:eastAsia="en-US"/>
        </w:rPr>
        <w:t>th</w:t>
      </w:r>
      <w:r w:rsidRPr="00E506A7">
        <w:rPr>
          <w:i/>
          <w:lang w:eastAsia="en-US"/>
        </w:rPr>
        <w:t xml:space="preserve"> International Seminar on Double Layer Capacitors and Hybrid Energy Storage Devices,</w:t>
      </w:r>
      <w:r w:rsidRPr="00E506A7">
        <w:rPr>
          <w:lang w:eastAsia="en-US"/>
        </w:rPr>
        <w:t xml:space="preserve"> Deerfield Beach, FL. USA, 2004.</w:t>
      </w:r>
    </w:p>
    <w:p w:rsidR="00E506A7" w:rsidRPr="00E506A7" w:rsidRDefault="00E506A7" w:rsidP="00E506A7">
      <w:pPr>
        <w:pStyle w:val="MRefer"/>
        <w:rPr>
          <w:lang w:eastAsia="en-US"/>
        </w:rPr>
      </w:pPr>
      <w:r>
        <w:rPr>
          <w:lang w:eastAsia="en-US"/>
        </w:rPr>
        <w:t>22</w:t>
      </w:r>
      <w:r w:rsidR="00CF13F5">
        <w:rPr>
          <w:lang w:eastAsia="en-US"/>
        </w:rPr>
        <w:t>.</w:t>
      </w:r>
      <w:r>
        <w:rPr>
          <w:lang w:eastAsia="en-US"/>
        </w:rPr>
        <w:tab/>
      </w:r>
      <w:r w:rsidR="00A92FDD">
        <w:rPr>
          <w:lang w:eastAsia="en-US"/>
        </w:rPr>
        <w:t>Harris, P.</w:t>
      </w:r>
      <w:r w:rsidRPr="00E506A7">
        <w:rPr>
          <w:lang w:eastAsia="en-US"/>
        </w:rPr>
        <w:t xml:space="preserve">H. </w:t>
      </w:r>
      <w:r w:rsidRPr="00E506A7">
        <w:rPr>
          <w:i/>
          <w:lang w:eastAsia="en-US"/>
        </w:rPr>
        <w:t>Carbon nanotubes and related structures.</w:t>
      </w:r>
      <w:r w:rsidRPr="00E506A7">
        <w:rPr>
          <w:lang w:eastAsia="en-US"/>
        </w:rPr>
        <w:t xml:space="preserve"> Cambridge University Press, UK, 1999 </w:t>
      </w:r>
    </w:p>
    <w:p w:rsidR="00E506A7" w:rsidRPr="00E506A7" w:rsidRDefault="00E506A7" w:rsidP="00E506A7">
      <w:pPr>
        <w:pStyle w:val="MRefer"/>
        <w:rPr>
          <w:lang w:eastAsia="en-US"/>
        </w:rPr>
      </w:pPr>
      <w:r>
        <w:rPr>
          <w:lang w:eastAsia="en-US"/>
        </w:rPr>
        <w:t>23</w:t>
      </w:r>
      <w:r w:rsidR="00CF13F5">
        <w:rPr>
          <w:lang w:eastAsia="en-US"/>
        </w:rPr>
        <w:t>.</w:t>
      </w:r>
      <w:r>
        <w:rPr>
          <w:lang w:eastAsia="en-US"/>
        </w:rPr>
        <w:tab/>
      </w:r>
      <w:r w:rsidRPr="00E506A7">
        <w:rPr>
          <w:lang w:eastAsia="en-US"/>
        </w:rPr>
        <w:t xml:space="preserve">Dash, R.; Chmiola, J.; Yushin, G.; Gogotsi, Y.; Laudisio J.; Singer, J.; Fischer, J.; Kucheyev, S. Titanium carbide derived nanoporous carbon for energy-related applications. </w:t>
      </w:r>
      <w:r w:rsidRPr="00E506A7">
        <w:rPr>
          <w:b/>
          <w:lang w:eastAsia="en-US"/>
        </w:rPr>
        <w:t>Carbon</w:t>
      </w:r>
      <w:r w:rsidRPr="00E506A7">
        <w:rPr>
          <w:lang w:eastAsia="en-US"/>
        </w:rPr>
        <w:t xml:space="preserve"> 2006, </w:t>
      </w:r>
      <w:r w:rsidRPr="00E506A7">
        <w:rPr>
          <w:i/>
          <w:lang w:eastAsia="en-US"/>
        </w:rPr>
        <w:t>44,</w:t>
      </w:r>
      <w:r w:rsidRPr="00E506A7">
        <w:rPr>
          <w:lang w:eastAsia="en-US"/>
        </w:rPr>
        <w:t xml:space="preserve"> 2489-2497.</w:t>
      </w:r>
    </w:p>
    <w:p w:rsidR="00E506A7" w:rsidRPr="00E506A7" w:rsidRDefault="00E506A7" w:rsidP="00E506A7">
      <w:pPr>
        <w:pStyle w:val="MRefer"/>
        <w:rPr>
          <w:lang w:eastAsia="en-US"/>
        </w:rPr>
      </w:pPr>
      <w:r>
        <w:rPr>
          <w:lang w:eastAsia="en-US"/>
        </w:rPr>
        <w:t>24</w:t>
      </w:r>
      <w:r w:rsidR="00CF13F5">
        <w:rPr>
          <w:lang w:eastAsia="en-US"/>
        </w:rPr>
        <w:t>.</w:t>
      </w:r>
      <w:r>
        <w:rPr>
          <w:lang w:eastAsia="en-US"/>
        </w:rPr>
        <w:tab/>
      </w:r>
      <w:r w:rsidRPr="00E506A7">
        <w:rPr>
          <w:lang w:eastAsia="en-US"/>
        </w:rPr>
        <w:t xml:space="preserve">Lätt, M.; Leis, J.; Arulepp, M.; Kuura, H.; Lust, E. Latest developments in Carbide Derived Carbon for Energy Storage Applications. </w:t>
      </w:r>
      <w:r w:rsidRPr="00E506A7">
        <w:rPr>
          <w:i/>
          <w:lang w:eastAsia="en-US"/>
        </w:rPr>
        <w:t>The 16</w:t>
      </w:r>
      <w:r w:rsidRPr="00E506A7">
        <w:rPr>
          <w:i/>
          <w:vertAlign w:val="superscript"/>
          <w:lang w:eastAsia="en-US"/>
        </w:rPr>
        <w:t>th</w:t>
      </w:r>
      <w:r w:rsidRPr="00E506A7">
        <w:rPr>
          <w:i/>
          <w:lang w:eastAsia="en-US"/>
        </w:rPr>
        <w:t xml:space="preserve"> International Seminar on Double Layer Capacitors &amp; Hybrid Energy Storage Devices</w:t>
      </w:r>
      <w:r w:rsidRPr="00E506A7">
        <w:rPr>
          <w:lang w:eastAsia="en-US"/>
        </w:rPr>
        <w:t>, Deerfield Beach, Fl, USA, 2006.</w:t>
      </w:r>
    </w:p>
    <w:p w:rsidR="00E506A7" w:rsidRPr="00E506A7" w:rsidRDefault="00E506A7" w:rsidP="00E506A7">
      <w:pPr>
        <w:pStyle w:val="MRefer"/>
        <w:rPr>
          <w:lang w:eastAsia="en-US"/>
        </w:rPr>
      </w:pPr>
      <w:r>
        <w:rPr>
          <w:lang w:eastAsia="en-US"/>
        </w:rPr>
        <w:t>25</w:t>
      </w:r>
      <w:r w:rsidR="00CF13F5">
        <w:rPr>
          <w:lang w:eastAsia="en-US"/>
        </w:rPr>
        <w:t>.</w:t>
      </w:r>
      <w:r>
        <w:rPr>
          <w:lang w:eastAsia="en-US"/>
        </w:rPr>
        <w:tab/>
      </w:r>
      <w:r w:rsidRPr="00E506A7">
        <w:rPr>
          <w:lang w:eastAsia="en-US"/>
        </w:rPr>
        <w:t xml:space="preserve">Arulepp, M.; Leis, J.; Lätt, M.; Miller, F.; Rumma, K.; Lust, E.; Burke, A.F. The advanced carbide-derived carbon based supercapacitor. </w:t>
      </w:r>
      <w:r w:rsidRPr="00E506A7">
        <w:rPr>
          <w:i/>
          <w:lang w:eastAsia="en-US"/>
        </w:rPr>
        <w:t>J. Power Sources</w:t>
      </w:r>
      <w:r w:rsidRPr="00E506A7">
        <w:rPr>
          <w:lang w:eastAsia="en-US"/>
        </w:rPr>
        <w:t xml:space="preserve"> </w:t>
      </w:r>
      <w:r w:rsidRPr="00E506A7">
        <w:rPr>
          <w:b/>
          <w:lang w:eastAsia="en-US"/>
        </w:rPr>
        <w:t>2006</w:t>
      </w:r>
      <w:r w:rsidRPr="00E506A7">
        <w:rPr>
          <w:lang w:eastAsia="en-US"/>
        </w:rPr>
        <w:t xml:space="preserve">, </w:t>
      </w:r>
      <w:r w:rsidRPr="00E506A7">
        <w:rPr>
          <w:i/>
          <w:lang w:eastAsia="en-US"/>
        </w:rPr>
        <w:t>162</w:t>
      </w:r>
      <w:r w:rsidRPr="00E506A7">
        <w:rPr>
          <w:lang w:eastAsia="en-US"/>
        </w:rPr>
        <w:t xml:space="preserve"> 1460-1466.</w:t>
      </w:r>
    </w:p>
    <w:p w:rsidR="00E506A7" w:rsidRPr="00E506A7" w:rsidRDefault="00E506A7" w:rsidP="00E506A7">
      <w:pPr>
        <w:pStyle w:val="MRefer"/>
        <w:rPr>
          <w:lang w:eastAsia="en-US"/>
        </w:rPr>
      </w:pPr>
      <w:r>
        <w:rPr>
          <w:lang w:eastAsia="en-US"/>
        </w:rPr>
        <w:t>26</w:t>
      </w:r>
      <w:r w:rsidR="00CF13F5">
        <w:rPr>
          <w:lang w:eastAsia="en-US"/>
        </w:rPr>
        <w:t>.</w:t>
      </w:r>
      <w:r>
        <w:rPr>
          <w:lang w:eastAsia="en-US"/>
        </w:rPr>
        <w:tab/>
      </w:r>
      <w:r w:rsidRPr="00E506A7">
        <w:rPr>
          <w:lang w:eastAsia="en-US"/>
        </w:rPr>
        <w:t xml:space="preserve">Becker, H.I. </w:t>
      </w:r>
      <w:r w:rsidRPr="00E506A7">
        <w:rPr>
          <w:i/>
          <w:lang w:eastAsia="en-US"/>
        </w:rPr>
        <w:t>Low voltage electrolytic capacitor.</w:t>
      </w:r>
      <w:r w:rsidRPr="00E506A7">
        <w:rPr>
          <w:lang w:eastAsia="en-US"/>
        </w:rPr>
        <w:t xml:space="preserve"> US 2,800,616, 1954</w:t>
      </w:r>
    </w:p>
    <w:p w:rsidR="00E506A7" w:rsidRPr="00E506A7" w:rsidRDefault="00E506A7" w:rsidP="00E506A7">
      <w:pPr>
        <w:pStyle w:val="MRefer"/>
        <w:rPr>
          <w:lang w:eastAsia="en-US"/>
        </w:rPr>
      </w:pPr>
      <w:r>
        <w:rPr>
          <w:lang w:eastAsia="en-US"/>
        </w:rPr>
        <w:t>27</w:t>
      </w:r>
      <w:r w:rsidR="00CF13F5">
        <w:rPr>
          <w:lang w:eastAsia="en-US"/>
        </w:rPr>
        <w:t>.</w:t>
      </w:r>
      <w:r>
        <w:rPr>
          <w:lang w:eastAsia="en-US"/>
        </w:rPr>
        <w:tab/>
      </w:r>
      <w:r w:rsidRPr="00E506A7">
        <w:rPr>
          <w:lang w:eastAsia="en-US"/>
        </w:rPr>
        <w:t xml:space="preserve">Hahn, M; Kötz, R.; Gallay, R; Siggel, A. Pressure evolution in propylene carbonate based electrochemical double layer capacitors. </w:t>
      </w:r>
      <w:r w:rsidRPr="00E506A7">
        <w:rPr>
          <w:i/>
          <w:lang w:eastAsia="en-US"/>
        </w:rPr>
        <w:t>Electrochim. Acta</w:t>
      </w:r>
      <w:r w:rsidRPr="00E506A7">
        <w:rPr>
          <w:lang w:eastAsia="en-US"/>
        </w:rPr>
        <w:t xml:space="preserve"> </w:t>
      </w:r>
      <w:r w:rsidRPr="00E506A7">
        <w:rPr>
          <w:b/>
          <w:lang w:eastAsia="en-US"/>
        </w:rPr>
        <w:t>2006</w:t>
      </w:r>
      <w:r w:rsidRPr="00E506A7">
        <w:rPr>
          <w:lang w:eastAsia="en-US"/>
        </w:rPr>
        <w:t xml:space="preserve">, </w:t>
      </w:r>
      <w:r w:rsidRPr="00E506A7">
        <w:rPr>
          <w:i/>
          <w:lang w:eastAsia="en-US"/>
        </w:rPr>
        <w:t>52</w:t>
      </w:r>
      <w:r w:rsidRPr="00E506A7">
        <w:rPr>
          <w:lang w:eastAsia="en-US"/>
        </w:rPr>
        <w:t>, 1709-1712.</w:t>
      </w:r>
    </w:p>
    <w:p w:rsidR="00E506A7" w:rsidRPr="00E506A7" w:rsidRDefault="00E506A7" w:rsidP="00E506A7">
      <w:pPr>
        <w:pStyle w:val="MRefer"/>
        <w:rPr>
          <w:lang w:eastAsia="en-US"/>
        </w:rPr>
      </w:pPr>
      <w:r>
        <w:rPr>
          <w:lang w:eastAsia="en-US"/>
        </w:rPr>
        <w:t>28</w:t>
      </w:r>
      <w:r w:rsidR="00CF13F5">
        <w:rPr>
          <w:lang w:eastAsia="en-US"/>
        </w:rPr>
        <w:t>.</w:t>
      </w:r>
      <w:r>
        <w:rPr>
          <w:lang w:eastAsia="en-US"/>
        </w:rPr>
        <w:tab/>
      </w:r>
      <w:r w:rsidRPr="00E506A7">
        <w:rPr>
          <w:lang w:eastAsia="en-US"/>
        </w:rPr>
        <w:t xml:space="preserve">Kötz, R.; Hahn, M.; Ruch, P.; Gallay, R. Comparision of presseure evolution in supercapacitor devices using different aprotic solvents. </w:t>
      </w:r>
      <w:r w:rsidRPr="00E506A7">
        <w:rPr>
          <w:i/>
          <w:lang w:eastAsia="en-US"/>
        </w:rPr>
        <w:t>Electrochem. Comm.</w:t>
      </w:r>
      <w:r w:rsidRPr="00E506A7">
        <w:rPr>
          <w:lang w:eastAsia="en-US"/>
        </w:rPr>
        <w:t xml:space="preserve"> </w:t>
      </w:r>
      <w:r w:rsidRPr="00E506A7">
        <w:rPr>
          <w:b/>
          <w:lang w:eastAsia="en-US"/>
        </w:rPr>
        <w:t>2008</w:t>
      </w:r>
      <w:r w:rsidRPr="00E506A7">
        <w:rPr>
          <w:lang w:eastAsia="en-US"/>
        </w:rPr>
        <w:t xml:space="preserve">, </w:t>
      </w:r>
      <w:r w:rsidRPr="00E506A7">
        <w:rPr>
          <w:i/>
          <w:lang w:eastAsia="en-US"/>
        </w:rPr>
        <w:t>10</w:t>
      </w:r>
      <w:r w:rsidRPr="00E506A7">
        <w:rPr>
          <w:lang w:eastAsia="en-US"/>
        </w:rPr>
        <w:t>, 359-362.</w:t>
      </w:r>
    </w:p>
    <w:p w:rsidR="00E506A7" w:rsidRPr="00E506A7" w:rsidRDefault="00E506A7" w:rsidP="00E506A7">
      <w:pPr>
        <w:pStyle w:val="MRefer"/>
        <w:rPr>
          <w:lang w:eastAsia="en-US"/>
        </w:rPr>
      </w:pPr>
      <w:r>
        <w:rPr>
          <w:lang w:eastAsia="en-US"/>
        </w:rPr>
        <w:t>29</w:t>
      </w:r>
      <w:r w:rsidR="00CF13F5">
        <w:rPr>
          <w:lang w:eastAsia="en-US"/>
        </w:rPr>
        <w:t>.</w:t>
      </w:r>
      <w:r>
        <w:rPr>
          <w:lang w:eastAsia="en-US"/>
        </w:rPr>
        <w:tab/>
      </w:r>
      <w:r w:rsidRPr="00E506A7">
        <w:rPr>
          <w:lang w:eastAsia="en-US"/>
        </w:rPr>
        <w:t xml:space="preserve">Kötz, R.; Hahn, M; Barbieri, O.; Campana, F.; Foelske, A.; Würsig, A.; Novak, P.; Gallay, R. Pseudo capacitive processes and lifetime aspects of electrochemical double-layer capacitors. </w:t>
      </w:r>
      <w:r w:rsidRPr="00E506A7">
        <w:rPr>
          <w:i/>
          <w:lang w:eastAsia="en-US"/>
        </w:rPr>
        <w:t>The 15</w:t>
      </w:r>
      <w:r w:rsidRPr="00E506A7">
        <w:rPr>
          <w:i/>
          <w:vertAlign w:val="superscript"/>
          <w:lang w:eastAsia="en-US"/>
        </w:rPr>
        <w:t>th</w:t>
      </w:r>
      <w:r w:rsidRPr="00E506A7">
        <w:rPr>
          <w:i/>
          <w:lang w:eastAsia="en-US"/>
        </w:rPr>
        <w:t xml:space="preserve"> International Seminar on Double Layer Capacitors and Hybrid Energy Storage Devices,</w:t>
      </w:r>
      <w:r w:rsidRPr="00E506A7">
        <w:rPr>
          <w:lang w:eastAsia="en-US"/>
        </w:rPr>
        <w:t xml:space="preserve"> Deerfield Beach, FL, USA, 2005.</w:t>
      </w:r>
    </w:p>
    <w:p w:rsidR="00E506A7" w:rsidRPr="00E506A7" w:rsidRDefault="00E506A7" w:rsidP="00E506A7">
      <w:pPr>
        <w:pStyle w:val="MRefer"/>
        <w:rPr>
          <w:lang w:eastAsia="en-US"/>
        </w:rPr>
      </w:pPr>
      <w:r>
        <w:rPr>
          <w:lang w:eastAsia="en-US"/>
        </w:rPr>
        <w:t>30</w:t>
      </w:r>
      <w:r w:rsidR="00CF13F5">
        <w:rPr>
          <w:lang w:eastAsia="en-US"/>
        </w:rPr>
        <w:t>.</w:t>
      </w:r>
      <w:r>
        <w:rPr>
          <w:lang w:eastAsia="en-US"/>
        </w:rPr>
        <w:tab/>
      </w:r>
      <w:r w:rsidRPr="00E506A7">
        <w:rPr>
          <w:lang w:eastAsia="en-US"/>
        </w:rPr>
        <w:t xml:space="preserve">Chimola, J.; Largeot, C.; Taberna, P.L.; Simon, P.; Gogotsi, Y.; Desolvation of ions in subnanometer pores and its effect on capacitance and double-layer theory. </w:t>
      </w:r>
      <w:r w:rsidRPr="00E506A7">
        <w:rPr>
          <w:i/>
          <w:lang w:eastAsia="en-US"/>
        </w:rPr>
        <w:t>Angew. Chem. Int. Ed.</w:t>
      </w:r>
      <w:r w:rsidRPr="00E506A7">
        <w:rPr>
          <w:lang w:eastAsia="en-US"/>
        </w:rPr>
        <w:t xml:space="preserve"> </w:t>
      </w:r>
      <w:r w:rsidRPr="00E506A7">
        <w:rPr>
          <w:b/>
          <w:lang w:eastAsia="en-US"/>
        </w:rPr>
        <w:t>2008</w:t>
      </w:r>
      <w:r w:rsidRPr="00E506A7">
        <w:rPr>
          <w:lang w:eastAsia="en-US"/>
        </w:rPr>
        <w:t xml:space="preserve">, </w:t>
      </w:r>
      <w:r w:rsidRPr="00E506A7">
        <w:rPr>
          <w:i/>
          <w:lang w:eastAsia="en-US"/>
        </w:rPr>
        <w:t>47,</w:t>
      </w:r>
      <w:r w:rsidRPr="00E506A7">
        <w:rPr>
          <w:lang w:eastAsia="en-US"/>
        </w:rPr>
        <w:t xml:space="preserve"> 3392-3395.</w:t>
      </w:r>
    </w:p>
    <w:p w:rsidR="00E506A7" w:rsidRPr="00E506A7" w:rsidRDefault="00E506A7" w:rsidP="00E506A7">
      <w:pPr>
        <w:pStyle w:val="MRefer"/>
        <w:rPr>
          <w:lang w:eastAsia="en-US"/>
        </w:rPr>
      </w:pPr>
      <w:r>
        <w:rPr>
          <w:lang w:eastAsia="en-US"/>
        </w:rPr>
        <w:t>31</w:t>
      </w:r>
      <w:r w:rsidR="00CF13F5">
        <w:rPr>
          <w:lang w:eastAsia="en-US"/>
        </w:rPr>
        <w:t>.</w:t>
      </w:r>
      <w:r>
        <w:rPr>
          <w:lang w:eastAsia="en-US"/>
        </w:rPr>
        <w:tab/>
      </w:r>
      <w:r w:rsidRPr="00E506A7">
        <w:rPr>
          <w:lang w:eastAsia="en-US"/>
        </w:rPr>
        <w:t xml:space="preserve">Brunauer, S.; Emmett, P.H.; Teller, E. Adsorption of Gases in Multimolecular Layers. </w:t>
      </w:r>
      <w:r w:rsidRPr="00E506A7">
        <w:rPr>
          <w:i/>
          <w:lang w:eastAsia="en-US"/>
        </w:rPr>
        <w:t>J. Am. Chem. Soc.</w:t>
      </w:r>
      <w:r w:rsidRPr="00E506A7">
        <w:rPr>
          <w:lang w:eastAsia="en-US"/>
        </w:rPr>
        <w:t xml:space="preserve"> </w:t>
      </w:r>
      <w:r w:rsidRPr="00E506A7">
        <w:rPr>
          <w:b/>
          <w:lang w:eastAsia="en-US"/>
        </w:rPr>
        <w:t>1938</w:t>
      </w:r>
      <w:r w:rsidRPr="00E506A7">
        <w:rPr>
          <w:lang w:eastAsia="en-US"/>
        </w:rPr>
        <w:t xml:space="preserve">, </w:t>
      </w:r>
      <w:r w:rsidRPr="00E506A7">
        <w:rPr>
          <w:i/>
          <w:lang w:eastAsia="en-US"/>
        </w:rPr>
        <w:t>60</w:t>
      </w:r>
      <w:r w:rsidRPr="00E506A7">
        <w:rPr>
          <w:lang w:eastAsia="en-US"/>
        </w:rPr>
        <w:t>, 309-319.</w:t>
      </w:r>
    </w:p>
    <w:p w:rsidR="00E506A7" w:rsidRDefault="00E506A7" w:rsidP="00E506A7">
      <w:pPr>
        <w:pStyle w:val="MRefer"/>
        <w:rPr>
          <w:lang w:eastAsia="en-US"/>
        </w:rPr>
      </w:pPr>
      <w:r>
        <w:rPr>
          <w:lang w:eastAsia="en-US"/>
        </w:rPr>
        <w:t>32</w:t>
      </w:r>
      <w:r w:rsidR="00CF13F5">
        <w:rPr>
          <w:lang w:eastAsia="en-US"/>
        </w:rPr>
        <w:t>.</w:t>
      </w:r>
      <w:r>
        <w:rPr>
          <w:lang w:eastAsia="en-US"/>
        </w:rPr>
        <w:tab/>
      </w:r>
      <w:r w:rsidRPr="00E506A7">
        <w:rPr>
          <w:lang w:eastAsia="en-US"/>
        </w:rPr>
        <w:t xml:space="preserve">Kiyohara, K.; Sugino, T.; Takeuchi, I.; Mukai, K.; Asaka, K. Expansion and contraction of polymer electrodes under applied voltage. </w:t>
      </w:r>
      <w:r w:rsidRPr="00E506A7">
        <w:rPr>
          <w:i/>
          <w:lang w:eastAsia="en-US"/>
        </w:rPr>
        <w:t>J. Appl. Phys.</w:t>
      </w:r>
      <w:r w:rsidRPr="00E506A7">
        <w:rPr>
          <w:lang w:eastAsia="en-US"/>
        </w:rPr>
        <w:t xml:space="preserve"> </w:t>
      </w:r>
      <w:r w:rsidRPr="00E506A7">
        <w:rPr>
          <w:b/>
          <w:lang w:eastAsia="en-US"/>
        </w:rPr>
        <w:t>2009</w:t>
      </w:r>
      <w:r w:rsidRPr="00E506A7">
        <w:rPr>
          <w:lang w:eastAsia="en-US"/>
        </w:rPr>
        <w:t xml:space="preserve">, </w:t>
      </w:r>
      <w:r w:rsidRPr="00E506A7">
        <w:rPr>
          <w:i/>
          <w:lang w:eastAsia="en-US"/>
        </w:rPr>
        <w:t>105</w:t>
      </w:r>
      <w:r w:rsidRPr="00E506A7">
        <w:rPr>
          <w:lang w:eastAsia="en-US"/>
        </w:rPr>
        <w:t>.</w:t>
      </w:r>
      <w:r w:rsidR="00A92FDD" w:rsidRPr="00A92FDD">
        <w:rPr>
          <w:rFonts w:ascii="Times-Roman" w:eastAsia="SimSun" w:hAnsi="Times-Roman" w:cs="Times-Roman"/>
          <w:color w:val="auto"/>
          <w:sz w:val="18"/>
          <w:szCs w:val="18"/>
          <w:lang w:val="et-EE" w:eastAsia="et-EE"/>
        </w:rPr>
        <w:t xml:space="preserve"> </w:t>
      </w:r>
      <w:r w:rsidR="00A92FDD" w:rsidRPr="00A92FDD">
        <w:rPr>
          <w:lang w:val="et-EE" w:eastAsia="en-US"/>
        </w:rPr>
        <w:t>063506</w:t>
      </w:r>
      <w:r w:rsidR="00A92FDD">
        <w:rPr>
          <w:lang w:val="et-EE" w:eastAsia="en-US"/>
        </w:rPr>
        <w:t>.</w:t>
      </w:r>
    </w:p>
    <w:p w:rsidR="00F42523" w:rsidRPr="00E506A7" w:rsidRDefault="00F42523" w:rsidP="00E506A7">
      <w:pPr>
        <w:pStyle w:val="MRefer"/>
        <w:rPr>
          <w:lang w:eastAsia="en-US"/>
        </w:rPr>
      </w:pPr>
    </w:p>
    <w:p w:rsidR="00637B64" w:rsidRDefault="00B615DC" w:rsidP="00B615DC">
      <w:pPr>
        <w:pStyle w:val="MCopyright"/>
        <w:tabs>
          <w:tab w:val="left" w:pos="720"/>
        </w:tabs>
        <w:jc w:val="both"/>
      </w:pPr>
      <w:r>
        <w:rPr>
          <w:lang w:eastAsia="en-US"/>
        </w:rPr>
        <w:t>© 200</w:t>
      </w:r>
      <w:r w:rsidR="002F74E7">
        <w:rPr>
          <w:lang w:eastAsia="en-US"/>
        </w:rPr>
        <w:t>9</w:t>
      </w:r>
      <w:r>
        <w:rPr>
          <w:lang w:eastAsia="en-US"/>
        </w:rPr>
        <w:t xml:space="preserve"> by the authors; licensee Molecular Diversity Preservation International, Basel, Switzerland. This article is an open-access article distributed under the terms and conditions of the Creative Commons Attribution license (http://creativecommons.org/licenses/by/3.0/).</w:t>
      </w:r>
    </w:p>
    <w:sectPr w:rsidR="00637B64" w:rsidSect="00A57D12">
      <w:headerReference w:type="default" r:id="rId21"/>
      <w:footerReference w:type="even" r:id="rId22"/>
      <w:footerReference w:type="default" r:id="rId23"/>
      <w:type w:val="continuous"/>
      <w:pgSz w:w="11913" w:h="16834" w:code="9"/>
      <w:pgMar w:top="992" w:right="992" w:bottom="992" w:left="992" w:header="851" w:footer="567" w:gutter="0"/>
      <w:pgNumType w:start="1"/>
      <w:cols w:space="397"/>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65CF" w:rsidRDefault="008165CF">
      <w:pPr>
        <w:spacing w:line="240" w:lineRule="auto"/>
      </w:pPr>
      <w:r>
        <w:separator/>
      </w:r>
    </w:p>
  </w:endnote>
  <w:endnote w:type="continuationSeparator" w:id="0">
    <w:p w:rsidR="008165CF" w:rsidRDefault="008165C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20002A87" w:usb1="00000000"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20002A87" w:usb1="00000000" w:usb2="00000000" w:usb3="00000000" w:csb0="000001FF" w:csb1="00000000"/>
  </w:font>
  <w:font w:name="Cambria">
    <w:panose1 w:val="02040503050406030204"/>
    <w:charset w:val="BA"/>
    <w:family w:val="roman"/>
    <w:pitch w:val="variable"/>
    <w:sig w:usb0="A00002EF" w:usb1="4000004B" w:usb2="00000000" w:usb3="00000000" w:csb0="0000009F" w:csb1="00000000"/>
  </w:font>
  <w:font w:name="Tahoma">
    <w:panose1 w:val="020B0604030504040204"/>
    <w:charset w:val="BA"/>
    <w:family w:val="swiss"/>
    <w:pitch w:val="variable"/>
    <w:sig w:usb0="E1002AFF" w:usb1="C000605B" w:usb2="00000029" w:usb3="00000000" w:csb0="000101FF" w:csb1="00000000"/>
  </w:font>
  <w:font w:name="Cambria Math">
    <w:panose1 w:val="02040503050406030204"/>
    <w:charset w:val="BA"/>
    <w:family w:val="roman"/>
    <w:pitch w:val="variable"/>
    <w:sig w:usb0="A00002EF" w:usb1="420020EB" w:usb2="00000000" w:usb3="00000000" w:csb0="0000009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81F" w:rsidRDefault="00AA003F">
    <w:pPr>
      <w:framePr w:wrap="around" w:vAnchor="text" w:hAnchor="margin" w:xAlign="right" w:y="1"/>
    </w:pPr>
    <w:fldSimple w:instr="PAGE  ">
      <w:r w:rsidR="005B681F">
        <w:rPr>
          <w:noProof/>
        </w:rPr>
        <w:t>10</w:t>
      </w:r>
    </w:fldSimple>
  </w:p>
  <w:p w:rsidR="005B681F" w:rsidRDefault="005B681F">
    <w:pP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81F" w:rsidRDefault="005B681F">
    <w:pP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65CF" w:rsidRDefault="008165CF">
      <w:pPr>
        <w:spacing w:line="240" w:lineRule="auto"/>
      </w:pPr>
      <w:r>
        <w:separator/>
      </w:r>
    </w:p>
  </w:footnote>
  <w:footnote w:type="continuationSeparator" w:id="0">
    <w:p w:rsidR="008165CF" w:rsidRDefault="008165C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81F" w:rsidRDefault="00AA003F" w:rsidP="00E71A4A">
    <w:pPr>
      <w:framePr w:wrap="around" w:vAnchor="text" w:hAnchor="margin" w:xAlign="right" w:y="4"/>
      <w:jc w:val="right"/>
      <w:rPr>
        <w:b/>
      </w:rPr>
    </w:pPr>
    <w:r>
      <w:rPr>
        <w:b/>
      </w:rPr>
      <w:fldChar w:fldCharType="begin"/>
    </w:r>
    <w:r w:rsidR="005B681F">
      <w:rPr>
        <w:b/>
      </w:rPr>
      <w:instrText xml:space="preserve">PAGE  </w:instrText>
    </w:r>
    <w:r>
      <w:rPr>
        <w:b/>
      </w:rPr>
      <w:fldChar w:fldCharType="separate"/>
    </w:r>
    <w:r w:rsidR="00E17C70">
      <w:rPr>
        <w:b/>
        <w:noProof/>
      </w:rPr>
      <w:t>17</w:t>
    </w:r>
    <w:r>
      <w:rPr>
        <w:b/>
      </w:rPr>
      <w:fldChar w:fldCharType="end"/>
    </w:r>
  </w:p>
  <w:p w:rsidR="005B681F" w:rsidRDefault="005B681F">
    <w:r>
      <w:rPr>
        <w:i/>
      </w:rPr>
      <w:t xml:space="preserve">Materials </w:t>
    </w:r>
    <w:r>
      <w:rPr>
        <w:b/>
      </w:rPr>
      <w:t>2009</w:t>
    </w:r>
    <w:r>
      <w:t xml:space="preserve">, </w:t>
    </w:r>
    <w:r>
      <w:rPr>
        <w:i/>
        <w:lang w:eastAsia="zh-CN"/>
      </w:rPr>
      <w:t>2</w:t>
    </w:r>
    <w:r>
      <w:tab/>
    </w:r>
    <w:r>
      <w:tab/>
    </w:r>
    <w:r>
      <w:tab/>
      <w:t xml:space="preserve">        </w:t>
    </w:r>
    <w:r>
      <w:tab/>
    </w:r>
    <w:r>
      <w:tab/>
    </w:r>
    <w:r>
      <w:tab/>
    </w:r>
    <w:r>
      <w:tab/>
    </w:r>
    <w:r>
      <w:tab/>
    </w:r>
    <w:r>
      <w:tab/>
    </w:r>
    <w:r>
      <w:tab/>
    </w:r>
    <w:r>
      <w:tab/>
      <w:t xml:space="preserve">        </w:t>
    </w:r>
  </w:p>
  <w:p w:rsidR="005B681F" w:rsidRDefault="005B681F">
    <w:pP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1C0267C"/>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C0B44C02"/>
    <w:lvl w:ilvl="0">
      <w:start w:val="1"/>
      <w:numFmt w:val="bullet"/>
      <w:lvlText w:val=""/>
      <w:lvlJc w:val="left"/>
      <w:pPr>
        <w:tabs>
          <w:tab w:val="num" w:pos="360"/>
        </w:tabs>
        <w:ind w:left="360" w:hanging="360"/>
      </w:pPr>
      <w:rPr>
        <w:rFonts w:ascii="Symbol" w:hAnsi="Symbol" w:hint="default"/>
      </w:rPr>
    </w:lvl>
  </w:abstractNum>
  <w:abstractNum w:abstractNumId="2">
    <w:nsid w:val="042476AC"/>
    <w:multiLevelType w:val="singleLevel"/>
    <w:tmpl w:val="EEDE6B7C"/>
    <w:lvl w:ilvl="0">
      <w:start w:val="1"/>
      <w:numFmt w:val="upperLetter"/>
      <w:lvlText w:val="%1."/>
      <w:lvlJc w:val="left"/>
      <w:pPr>
        <w:tabs>
          <w:tab w:val="num" w:pos="360"/>
        </w:tabs>
        <w:ind w:left="360" w:hanging="360"/>
      </w:pPr>
      <w:rPr>
        <w:rFonts w:hint="default"/>
      </w:rPr>
    </w:lvl>
  </w:abstractNum>
  <w:abstractNum w:abstractNumId="3">
    <w:nsid w:val="08167476"/>
    <w:multiLevelType w:val="singleLevel"/>
    <w:tmpl w:val="0409000F"/>
    <w:lvl w:ilvl="0">
      <w:start w:val="1"/>
      <w:numFmt w:val="decimal"/>
      <w:lvlText w:val="%1."/>
      <w:lvlJc w:val="left"/>
      <w:pPr>
        <w:tabs>
          <w:tab w:val="num" w:pos="360"/>
        </w:tabs>
        <w:ind w:left="360" w:hanging="360"/>
      </w:pPr>
    </w:lvl>
  </w:abstractNum>
  <w:abstractNum w:abstractNumId="4">
    <w:nsid w:val="08235F66"/>
    <w:multiLevelType w:val="singleLevel"/>
    <w:tmpl w:val="0409000F"/>
    <w:lvl w:ilvl="0">
      <w:start w:val="1"/>
      <w:numFmt w:val="decimal"/>
      <w:lvlText w:val="%1."/>
      <w:legacy w:legacy="1" w:legacySpace="0" w:legacyIndent="360"/>
      <w:lvlJc w:val="left"/>
      <w:pPr>
        <w:ind w:left="360" w:hanging="360"/>
      </w:pPr>
    </w:lvl>
  </w:abstractNum>
  <w:abstractNum w:abstractNumId="5">
    <w:nsid w:val="09F367D9"/>
    <w:multiLevelType w:val="singleLevel"/>
    <w:tmpl w:val="94D66E3E"/>
    <w:lvl w:ilvl="0">
      <w:start w:val="1"/>
      <w:numFmt w:val="upperLetter"/>
      <w:lvlText w:val="%1."/>
      <w:lvlJc w:val="left"/>
      <w:pPr>
        <w:tabs>
          <w:tab w:val="num" w:pos="360"/>
        </w:tabs>
        <w:ind w:left="360" w:hanging="360"/>
      </w:pPr>
      <w:rPr>
        <w:rFonts w:hint="default"/>
      </w:rPr>
    </w:lvl>
  </w:abstractNum>
  <w:abstractNum w:abstractNumId="6">
    <w:nsid w:val="0C973592"/>
    <w:multiLevelType w:val="singleLevel"/>
    <w:tmpl w:val="0409000F"/>
    <w:lvl w:ilvl="0">
      <w:start w:val="1"/>
      <w:numFmt w:val="decimal"/>
      <w:lvlText w:val="%1."/>
      <w:lvlJc w:val="left"/>
      <w:pPr>
        <w:tabs>
          <w:tab w:val="num" w:pos="360"/>
        </w:tabs>
        <w:ind w:left="360" w:hanging="360"/>
      </w:pPr>
    </w:lvl>
  </w:abstractNum>
  <w:abstractNum w:abstractNumId="7">
    <w:nsid w:val="0E7D0EC1"/>
    <w:multiLevelType w:val="singleLevel"/>
    <w:tmpl w:val="46D6EB0C"/>
    <w:lvl w:ilvl="0">
      <w:start w:val="27"/>
      <w:numFmt w:val="decimal"/>
      <w:lvlText w:val="%1."/>
      <w:lvlJc w:val="left"/>
      <w:pPr>
        <w:tabs>
          <w:tab w:val="num" w:pos="450"/>
        </w:tabs>
        <w:ind w:left="450" w:hanging="450"/>
      </w:pPr>
      <w:rPr>
        <w:rFonts w:hint="default"/>
      </w:rPr>
    </w:lvl>
  </w:abstractNum>
  <w:abstractNum w:abstractNumId="8">
    <w:nsid w:val="1193550A"/>
    <w:multiLevelType w:val="singleLevel"/>
    <w:tmpl w:val="0409000F"/>
    <w:lvl w:ilvl="0">
      <w:start w:val="1"/>
      <w:numFmt w:val="decimal"/>
      <w:lvlText w:val="%1."/>
      <w:lvlJc w:val="left"/>
      <w:pPr>
        <w:tabs>
          <w:tab w:val="num" w:pos="360"/>
        </w:tabs>
        <w:ind w:left="360" w:hanging="360"/>
      </w:pPr>
    </w:lvl>
  </w:abstractNum>
  <w:abstractNum w:abstractNumId="9">
    <w:nsid w:val="132655E1"/>
    <w:multiLevelType w:val="singleLevel"/>
    <w:tmpl w:val="DAEC23BA"/>
    <w:lvl w:ilvl="0">
      <w:start w:val="109"/>
      <w:numFmt w:val="decimal"/>
      <w:lvlText w:val="%1."/>
      <w:lvlJc w:val="left"/>
      <w:pPr>
        <w:tabs>
          <w:tab w:val="num" w:pos="414"/>
        </w:tabs>
        <w:ind w:left="414" w:hanging="414"/>
      </w:pPr>
      <w:rPr>
        <w:rFonts w:hint="default"/>
      </w:rPr>
    </w:lvl>
  </w:abstractNum>
  <w:abstractNum w:abstractNumId="10">
    <w:nsid w:val="14757786"/>
    <w:multiLevelType w:val="singleLevel"/>
    <w:tmpl w:val="35D471E8"/>
    <w:lvl w:ilvl="0">
      <w:start w:val="1"/>
      <w:numFmt w:val="decimal"/>
      <w:lvlText w:val="%1-"/>
      <w:lvlJc w:val="left"/>
      <w:pPr>
        <w:tabs>
          <w:tab w:val="num" w:pos="360"/>
        </w:tabs>
        <w:ind w:left="360" w:hanging="360"/>
      </w:pPr>
      <w:rPr>
        <w:rFonts w:hint="default"/>
      </w:rPr>
    </w:lvl>
  </w:abstractNum>
  <w:abstractNum w:abstractNumId="11">
    <w:nsid w:val="16DE6819"/>
    <w:multiLevelType w:val="multilevel"/>
    <w:tmpl w:val="BD7E105E"/>
    <w:lvl w:ilvl="0">
      <w:start w:val="1"/>
      <w:numFmt w:val="decimal"/>
      <w:lvlText w:val="%1."/>
      <w:lvlJc w:val="left"/>
      <w:pPr>
        <w:tabs>
          <w:tab w:val="num" w:pos="1004"/>
        </w:tabs>
        <w:ind w:left="1004" w:hanging="360"/>
      </w:pPr>
    </w:lvl>
    <w:lvl w:ilvl="1" w:tentative="1">
      <w:start w:val="1"/>
      <w:numFmt w:val="lowerLetter"/>
      <w:lvlText w:val="%2."/>
      <w:lvlJc w:val="left"/>
      <w:pPr>
        <w:tabs>
          <w:tab w:val="num" w:pos="1724"/>
        </w:tabs>
        <w:ind w:left="1724" w:hanging="360"/>
      </w:pPr>
    </w:lvl>
    <w:lvl w:ilvl="2" w:tentative="1">
      <w:start w:val="1"/>
      <w:numFmt w:val="lowerRoman"/>
      <w:lvlText w:val="%3."/>
      <w:lvlJc w:val="right"/>
      <w:pPr>
        <w:tabs>
          <w:tab w:val="num" w:pos="2444"/>
        </w:tabs>
        <w:ind w:left="2444" w:hanging="180"/>
      </w:pPr>
    </w:lvl>
    <w:lvl w:ilvl="3" w:tentative="1">
      <w:start w:val="1"/>
      <w:numFmt w:val="decimal"/>
      <w:lvlText w:val="%4."/>
      <w:lvlJc w:val="left"/>
      <w:pPr>
        <w:tabs>
          <w:tab w:val="num" w:pos="3164"/>
        </w:tabs>
        <w:ind w:left="3164" w:hanging="360"/>
      </w:pPr>
    </w:lvl>
    <w:lvl w:ilvl="4" w:tentative="1">
      <w:start w:val="1"/>
      <w:numFmt w:val="lowerLetter"/>
      <w:lvlText w:val="%5."/>
      <w:lvlJc w:val="left"/>
      <w:pPr>
        <w:tabs>
          <w:tab w:val="num" w:pos="3884"/>
        </w:tabs>
        <w:ind w:left="3884" w:hanging="360"/>
      </w:pPr>
    </w:lvl>
    <w:lvl w:ilvl="5" w:tentative="1">
      <w:start w:val="1"/>
      <w:numFmt w:val="lowerRoman"/>
      <w:lvlText w:val="%6."/>
      <w:lvlJc w:val="right"/>
      <w:pPr>
        <w:tabs>
          <w:tab w:val="num" w:pos="4604"/>
        </w:tabs>
        <w:ind w:left="4604" w:hanging="180"/>
      </w:pPr>
    </w:lvl>
    <w:lvl w:ilvl="6" w:tentative="1">
      <w:start w:val="1"/>
      <w:numFmt w:val="decimal"/>
      <w:lvlText w:val="%7."/>
      <w:lvlJc w:val="left"/>
      <w:pPr>
        <w:tabs>
          <w:tab w:val="num" w:pos="5324"/>
        </w:tabs>
        <w:ind w:left="5324" w:hanging="360"/>
      </w:pPr>
    </w:lvl>
    <w:lvl w:ilvl="7" w:tentative="1">
      <w:start w:val="1"/>
      <w:numFmt w:val="lowerLetter"/>
      <w:lvlText w:val="%8."/>
      <w:lvlJc w:val="left"/>
      <w:pPr>
        <w:tabs>
          <w:tab w:val="num" w:pos="6044"/>
        </w:tabs>
        <w:ind w:left="6044" w:hanging="360"/>
      </w:pPr>
    </w:lvl>
    <w:lvl w:ilvl="8" w:tentative="1">
      <w:start w:val="1"/>
      <w:numFmt w:val="lowerRoman"/>
      <w:lvlText w:val="%9."/>
      <w:lvlJc w:val="right"/>
      <w:pPr>
        <w:tabs>
          <w:tab w:val="num" w:pos="6764"/>
        </w:tabs>
        <w:ind w:left="6764" w:hanging="180"/>
      </w:pPr>
    </w:lvl>
  </w:abstractNum>
  <w:abstractNum w:abstractNumId="12">
    <w:nsid w:val="1BB346B8"/>
    <w:multiLevelType w:val="singleLevel"/>
    <w:tmpl w:val="040B0015"/>
    <w:lvl w:ilvl="0">
      <w:start w:val="1"/>
      <w:numFmt w:val="upperLetter"/>
      <w:lvlText w:val="%1."/>
      <w:lvlJc w:val="left"/>
      <w:pPr>
        <w:tabs>
          <w:tab w:val="num" w:pos="360"/>
        </w:tabs>
        <w:ind w:left="360" w:hanging="360"/>
      </w:pPr>
      <w:rPr>
        <w:rFonts w:hint="default"/>
      </w:rPr>
    </w:lvl>
  </w:abstractNum>
  <w:abstractNum w:abstractNumId="13">
    <w:nsid w:val="231D55B4"/>
    <w:multiLevelType w:val="singleLevel"/>
    <w:tmpl w:val="CA8A9C50"/>
    <w:lvl w:ilvl="0">
      <w:start w:val="1"/>
      <w:numFmt w:val="decimal"/>
      <w:lvlText w:val="%1."/>
      <w:lvlJc w:val="left"/>
      <w:pPr>
        <w:tabs>
          <w:tab w:val="num" w:pos="360"/>
        </w:tabs>
        <w:ind w:left="360" w:hanging="360"/>
      </w:pPr>
      <w:rPr>
        <w:b w:val="0"/>
        <w:i w:val="0"/>
      </w:rPr>
    </w:lvl>
  </w:abstractNum>
  <w:abstractNum w:abstractNumId="14">
    <w:nsid w:val="2569699F"/>
    <w:multiLevelType w:val="hybridMultilevel"/>
    <w:tmpl w:val="396645A2"/>
    <w:lvl w:ilvl="0" w:tplc="F340663C">
      <w:start w:val="1"/>
      <w:numFmt w:val="decimal"/>
      <w:lvlText w:val="%1."/>
      <w:lvlJc w:val="left"/>
      <w:pPr>
        <w:tabs>
          <w:tab w:val="num" w:pos="708"/>
        </w:tabs>
        <w:ind w:left="708" w:hanging="708"/>
      </w:pPr>
      <w:rPr>
        <w:rFonts w:hint="default"/>
      </w:rPr>
    </w:lvl>
    <w:lvl w:ilvl="1" w:tplc="7FFEC440" w:tentative="1">
      <w:start w:val="1"/>
      <w:numFmt w:val="lowerLetter"/>
      <w:lvlText w:val="%2."/>
      <w:lvlJc w:val="left"/>
      <w:pPr>
        <w:tabs>
          <w:tab w:val="num" w:pos="1080"/>
        </w:tabs>
        <w:ind w:left="1080" w:hanging="360"/>
      </w:pPr>
    </w:lvl>
    <w:lvl w:ilvl="2" w:tplc="69822C0A" w:tentative="1">
      <w:start w:val="1"/>
      <w:numFmt w:val="lowerRoman"/>
      <w:lvlText w:val="%3."/>
      <w:lvlJc w:val="right"/>
      <w:pPr>
        <w:tabs>
          <w:tab w:val="num" w:pos="1800"/>
        </w:tabs>
        <w:ind w:left="1800" w:hanging="180"/>
      </w:pPr>
    </w:lvl>
    <w:lvl w:ilvl="3" w:tplc="D56ADC9C" w:tentative="1">
      <w:start w:val="1"/>
      <w:numFmt w:val="decimal"/>
      <w:lvlText w:val="%4."/>
      <w:lvlJc w:val="left"/>
      <w:pPr>
        <w:tabs>
          <w:tab w:val="num" w:pos="2520"/>
        </w:tabs>
        <w:ind w:left="2520" w:hanging="360"/>
      </w:pPr>
    </w:lvl>
    <w:lvl w:ilvl="4" w:tplc="E3D2AB06" w:tentative="1">
      <w:start w:val="1"/>
      <w:numFmt w:val="lowerLetter"/>
      <w:lvlText w:val="%5."/>
      <w:lvlJc w:val="left"/>
      <w:pPr>
        <w:tabs>
          <w:tab w:val="num" w:pos="3240"/>
        </w:tabs>
        <w:ind w:left="3240" w:hanging="360"/>
      </w:pPr>
    </w:lvl>
    <w:lvl w:ilvl="5" w:tplc="B1A82710" w:tentative="1">
      <w:start w:val="1"/>
      <w:numFmt w:val="lowerRoman"/>
      <w:lvlText w:val="%6."/>
      <w:lvlJc w:val="right"/>
      <w:pPr>
        <w:tabs>
          <w:tab w:val="num" w:pos="3960"/>
        </w:tabs>
        <w:ind w:left="3960" w:hanging="180"/>
      </w:pPr>
    </w:lvl>
    <w:lvl w:ilvl="6" w:tplc="0C74FBAA" w:tentative="1">
      <w:start w:val="1"/>
      <w:numFmt w:val="decimal"/>
      <w:lvlText w:val="%7."/>
      <w:lvlJc w:val="left"/>
      <w:pPr>
        <w:tabs>
          <w:tab w:val="num" w:pos="4680"/>
        </w:tabs>
        <w:ind w:left="4680" w:hanging="360"/>
      </w:pPr>
    </w:lvl>
    <w:lvl w:ilvl="7" w:tplc="474E0CF0" w:tentative="1">
      <w:start w:val="1"/>
      <w:numFmt w:val="lowerLetter"/>
      <w:lvlText w:val="%8."/>
      <w:lvlJc w:val="left"/>
      <w:pPr>
        <w:tabs>
          <w:tab w:val="num" w:pos="5400"/>
        </w:tabs>
        <w:ind w:left="5400" w:hanging="360"/>
      </w:pPr>
    </w:lvl>
    <w:lvl w:ilvl="8" w:tplc="AD9A7E3E" w:tentative="1">
      <w:start w:val="1"/>
      <w:numFmt w:val="lowerRoman"/>
      <w:lvlText w:val="%9."/>
      <w:lvlJc w:val="right"/>
      <w:pPr>
        <w:tabs>
          <w:tab w:val="num" w:pos="6120"/>
        </w:tabs>
        <w:ind w:left="6120" w:hanging="180"/>
      </w:pPr>
    </w:lvl>
  </w:abstractNum>
  <w:abstractNum w:abstractNumId="15">
    <w:nsid w:val="26024AAC"/>
    <w:multiLevelType w:val="singleLevel"/>
    <w:tmpl w:val="CDCE17D8"/>
    <w:lvl w:ilvl="0">
      <w:start w:val="1"/>
      <w:numFmt w:val="upperLetter"/>
      <w:lvlText w:val="%1."/>
      <w:lvlJc w:val="left"/>
      <w:pPr>
        <w:tabs>
          <w:tab w:val="num" w:pos="360"/>
        </w:tabs>
        <w:ind w:left="360" w:hanging="360"/>
      </w:pPr>
      <w:rPr>
        <w:rFonts w:hint="default"/>
      </w:rPr>
    </w:lvl>
  </w:abstractNum>
  <w:abstractNum w:abstractNumId="16">
    <w:nsid w:val="285336B8"/>
    <w:multiLevelType w:val="singleLevel"/>
    <w:tmpl w:val="D5C46702"/>
    <w:lvl w:ilvl="0">
      <w:start w:val="5"/>
      <w:numFmt w:val="decimal"/>
      <w:lvlText w:val="%1."/>
      <w:lvlJc w:val="left"/>
      <w:pPr>
        <w:tabs>
          <w:tab w:val="num" w:pos="360"/>
        </w:tabs>
        <w:ind w:left="360" w:hanging="360"/>
      </w:pPr>
      <w:rPr>
        <w:caps w:val="0"/>
        <w:strike w:val="0"/>
        <w:dstrike w:val="0"/>
        <w:shadow w:val="0"/>
        <w:emboss w:val="0"/>
        <w:imprint w:val="0"/>
        <w:vanish w:val="0"/>
        <w:sz w:val="24"/>
        <w:vertAlign w:val="baseline"/>
      </w:rPr>
    </w:lvl>
  </w:abstractNum>
  <w:abstractNum w:abstractNumId="17">
    <w:nsid w:val="2BA22BEC"/>
    <w:multiLevelType w:val="singleLevel"/>
    <w:tmpl w:val="639E3512"/>
    <w:lvl w:ilvl="0">
      <w:start w:val="1"/>
      <w:numFmt w:val="decimal"/>
      <w:lvlText w:val="%1."/>
      <w:lvlJc w:val="left"/>
      <w:pPr>
        <w:tabs>
          <w:tab w:val="num" w:pos="720"/>
        </w:tabs>
        <w:ind w:left="720" w:hanging="720"/>
      </w:pPr>
      <w:rPr>
        <w:rFonts w:hint="default"/>
      </w:rPr>
    </w:lvl>
  </w:abstractNum>
  <w:abstractNum w:abstractNumId="18">
    <w:nsid w:val="2FE643E5"/>
    <w:multiLevelType w:val="singleLevel"/>
    <w:tmpl w:val="D692271E"/>
    <w:lvl w:ilvl="0">
      <w:start w:val="11"/>
      <w:numFmt w:val="decimal"/>
      <w:lvlText w:val="%1."/>
      <w:lvlJc w:val="left"/>
      <w:pPr>
        <w:tabs>
          <w:tab w:val="num" w:pos="540"/>
        </w:tabs>
        <w:ind w:left="540" w:hanging="540"/>
      </w:pPr>
      <w:rPr>
        <w:rFonts w:hint="default"/>
      </w:rPr>
    </w:lvl>
  </w:abstractNum>
  <w:abstractNum w:abstractNumId="19">
    <w:nsid w:val="30BC4DCF"/>
    <w:multiLevelType w:val="hybridMultilevel"/>
    <w:tmpl w:val="9B0C8450"/>
    <w:lvl w:ilvl="0" w:tplc="0FE077D8">
      <w:start w:val="1"/>
      <w:numFmt w:val="decimal"/>
      <w:lvlText w:val="%1."/>
      <w:lvlJc w:val="left"/>
      <w:pPr>
        <w:tabs>
          <w:tab w:val="num" w:pos="360"/>
        </w:tabs>
        <w:ind w:left="360" w:hanging="360"/>
      </w:pPr>
    </w:lvl>
    <w:lvl w:ilvl="1" w:tplc="244008D6" w:tentative="1">
      <w:start w:val="1"/>
      <w:numFmt w:val="lowerLetter"/>
      <w:lvlText w:val="%2."/>
      <w:lvlJc w:val="left"/>
      <w:pPr>
        <w:tabs>
          <w:tab w:val="num" w:pos="1080"/>
        </w:tabs>
        <w:ind w:left="1080" w:hanging="360"/>
      </w:pPr>
    </w:lvl>
    <w:lvl w:ilvl="2" w:tplc="6C2A230C" w:tentative="1">
      <w:start w:val="1"/>
      <w:numFmt w:val="lowerRoman"/>
      <w:lvlText w:val="%3."/>
      <w:lvlJc w:val="right"/>
      <w:pPr>
        <w:tabs>
          <w:tab w:val="num" w:pos="1800"/>
        </w:tabs>
        <w:ind w:left="1800" w:hanging="180"/>
      </w:pPr>
    </w:lvl>
    <w:lvl w:ilvl="3" w:tplc="F618AEC2" w:tentative="1">
      <w:start w:val="1"/>
      <w:numFmt w:val="decimal"/>
      <w:lvlText w:val="%4."/>
      <w:lvlJc w:val="left"/>
      <w:pPr>
        <w:tabs>
          <w:tab w:val="num" w:pos="2520"/>
        </w:tabs>
        <w:ind w:left="2520" w:hanging="360"/>
      </w:pPr>
    </w:lvl>
    <w:lvl w:ilvl="4" w:tplc="C0F28FA2" w:tentative="1">
      <w:start w:val="1"/>
      <w:numFmt w:val="lowerLetter"/>
      <w:lvlText w:val="%5."/>
      <w:lvlJc w:val="left"/>
      <w:pPr>
        <w:tabs>
          <w:tab w:val="num" w:pos="3240"/>
        </w:tabs>
        <w:ind w:left="3240" w:hanging="360"/>
      </w:pPr>
    </w:lvl>
    <w:lvl w:ilvl="5" w:tplc="9E7C91AE" w:tentative="1">
      <w:start w:val="1"/>
      <w:numFmt w:val="lowerRoman"/>
      <w:lvlText w:val="%6."/>
      <w:lvlJc w:val="right"/>
      <w:pPr>
        <w:tabs>
          <w:tab w:val="num" w:pos="3960"/>
        </w:tabs>
        <w:ind w:left="3960" w:hanging="180"/>
      </w:pPr>
    </w:lvl>
    <w:lvl w:ilvl="6" w:tplc="62BACE6C" w:tentative="1">
      <w:start w:val="1"/>
      <w:numFmt w:val="decimal"/>
      <w:lvlText w:val="%7."/>
      <w:lvlJc w:val="left"/>
      <w:pPr>
        <w:tabs>
          <w:tab w:val="num" w:pos="4680"/>
        </w:tabs>
        <w:ind w:left="4680" w:hanging="360"/>
      </w:pPr>
    </w:lvl>
    <w:lvl w:ilvl="7" w:tplc="8AAA0678" w:tentative="1">
      <w:start w:val="1"/>
      <w:numFmt w:val="lowerLetter"/>
      <w:lvlText w:val="%8."/>
      <w:lvlJc w:val="left"/>
      <w:pPr>
        <w:tabs>
          <w:tab w:val="num" w:pos="5400"/>
        </w:tabs>
        <w:ind w:left="5400" w:hanging="360"/>
      </w:pPr>
    </w:lvl>
    <w:lvl w:ilvl="8" w:tplc="6CF67C7E" w:tentative="1">
      <w:start w:val="1"/>
      <w:numFmt w:val="lowerRoman"/>
      <w:lvlText w:val="%9."/>
      <w:lvlJc w:val="right"/>
      <w:pPr>
        <w:tabs>
          <w:tab w:val="num" w:pos="6120"/>
        </w:tabs>
        <w:ind w:left="6120" w:hanging="180"/>
      </w:pPr>
    </w:lvl>
  </w:abstractNum>
  <w:abstractNum w:abstractNumId="20">
    <w:nsid w:val="342118C4"/>
    <w:multiLevelType w:val="hybridMultilevel"/>
    <w:tmpl w:val="8BAAA0BE"/>
    <w:lvl w:ilvl="0" w:tplc="41888C6C">
      <w:start w:val="1"/>
      <w:numFmt w:val="decimal"/>
      <w:lvlText w:val="%1."/>
      <w:lvlJc w:val="left"/>
      <w:pPr>
        <w:tabs>
          <w:tab w:val="num" w:pos="720"/>
        </w:tabs>
        <w:ind w:left="720" w:hanging="360"/>
      </w:pPr>
    </w:lvl>
    <w:lvl w:ilvl="1" w:tplc="6B700740" w:tentative="1">
      <w:start w:val="1"/>
      <w:numFmt w:val="lowerLetter"/>
      <w:lvlText w:val="%2."/>
      <w:lvlJc w:val="left"/>
      <w:pPr>
        <w:tabs>
          <w:tab w:val="num" w:pos="1440"/>
        </w:tabs>
        <w:ind w:left="1440" w:hanging="360"/>
      </w:pPr>
    </w:lvl>
    <w:lvl w:ilvl="2" w:tplc="784A47BC" w:tentative="1">
      <w:start w:val="1"/>
      <w:numFmt w:val="lowerRoman"/>
      <w:lvlText w:val="%3."/>
      <w:lvlJc w:val="right"/>
      <w:pPr>
        <w:tabs>
          <w:tab w:val="num" w:pos="2160"/>
        </w:tabs>
        <w:ind w:left="2160" w:hanging="180"/>
      </w:pPr>
    </w:lvl>
    <w:lvl w:ilvl="3" w:tplc="4BE60732" w:tentative="1">
      <w:start w:val="1"/>
      <w:numFmt w:val="decimal"/>
      <w:lvlText w:val="%4."/>
      <w:lvlJc w:val="left"/>
      <w:pPr>
        <w:tabs>
          <w:tab w:val="num" w:pos="2880"/>
        </w:tabs>
        <w:ind w:left="2880" w:hanging="360"/>
      </w:pPr>
    </w:lvl>
    <w:lvl w:ilvl="4" w:tplc="5A828D0C" w:tentative="1">
      <w:start w:val="1"/>
      <w:numFmt w:val="lowerLetter"/>
      <w:lvlText w:val="%5."/>
      <w:lvlJc w:val="left"/>
      <w:pPr>
        <w:tabs>
          <w:tab w:val="num" w:pos="3600"/>
        </w:tabs>
        <w:ind w:left="3600" w:hanging="360"/>
      </w:pPr>
    </w:lvl>
    <w:lvl w:ilvl="5" w:tplc="AED0CD96" w:tentative="1">
      <w:start w:val="1"/>
      <w:numFmt w:val="lowerRoman"/>
      <w:lvlText w:val="%6."/>
      <w:lvlJc w:val="right"/>
      <w:pPr>
        <w:tabs>
          <w:tab w:val="num" w:pos="4320"/>
        </w:tabs>
        <w:ind w:left="4320" w:hanging="180"/>
      </w:pPr>
    </w:lvl>
    <w:lvl w:ilvl="6" w:tplc="85F461CE" w:tentative="1">
      <w:start w:val="1"/>
      <w:numFmt w:val="decimal"/>
      <w:lvlText w:val="%7."/>
      <w:lvlJc w:val="left"/>
      <w:pPr>
        <w:tabs>
          <w:tab w:val="num" w:pos="5040"/>
        </w:tabs>
        <w:ind w:left="5040" w:hanging="360"/>
      </w:pPr>
    </w:lvl>
    <w:lvl w:ilvl="7" w:tplc="A6B62BAA" w:tentative="1">
      <w:start w:val="1"/>
      <w:numFmt w:val="lowerLetter"/>
      <w:lvlText w:val="%8."/>
      <w:lvlJc w:val="left"/>
      <w:pPr>
        <w:tabs>
          <w:tab w:val="num" w:pos="5760"/>
        </w:tabs>
        <w:ind w:left="5760" w:hanging="360"/>
      </w:pPr>
    </w:lvl>
    <w:lvl w:ilvl="8" w:tplc="639E052E" w:tentative="1">
      <w:start w:val="1"/>
      <w:numFmt w:val="lowerRoman"/>
      <w:lvlText w:val="%9."/>
      <w:lvlJc w:val="right"/>
      <w:pPr>
        <w:tabs>
          <w:tab w:val="num" w:pos="6480"/>
        </w:tabs>
        <w:ind w:left="6480" w:hanging="180"/>
      </w:pPr>
    </w:lvl>
  </w:abstractNum>
  <w:abstractNum w:abstractNumId="21">
    <w:nsid w:val="347E0C74"/>
    <w:multiLevelType w:val="singleLevel"/>
    <w:tmpl w:val="BCE4153E"/>
    <w:lvl w:ilvl="0">
      <w:start w:val="1"/>
      <w:numFmt w:val="upperLetter"/>
      <w:lvlText w:val="%1."/>
      <w:lvlJc w:val="left"/>
      <w:pPr>
        <w:tabs>
          <w:tab w:val="num" w:pos="360"/>
        </w:tabs>
        <w:ind w:left="360" w:hanging="360"/>
      </w:pPr>
      <w:rPr>
        <w:rFonts w:hint="default"/>
      </w:rPr>
    </w:lvl>
  </w:abstractNum>
  <w:abstractNum w:abstractNumId="22">
    <w:nsid w:val="370204C8"/>
    <w:multiLevelType w:val="singleLevel"/>
    <w:tmpl w:val="040B000F"/>
    <w:lvl w:ilvl="0">
      <w:start w:val="1"/>
      <w:numFmt w:val="decimal"/>
      <w:lvlText w:val="%1."/>
      <w:lvlJc w:val="left"/>
      <w:pPr>
        <w:tabs>
          <w:tab w:val="num" w:pos="360"/>
        </w:tabs>
        <w:ind w:left="360" w:hanging="360"/>
      </w:pPr>
      <w:rPr>
        <w:rFonts w:hint="default"/>
      </w:rPr>
    </w:lvl>
  </w:abstractNum>
  <w:abstractNum w:abstractNumId="23">
    <w:nsid w:val="3DE07217"/>
    <w:multiLevelType w:val="singleLevel"/>
    <w:tmpl w:val="040B0015"/>
    <w:lvl w:ilvl="0">
      <w:start w:val="1"/>
      <w:numFmt w:val="upperLetter"/>
      <w:lvlText w:val="%1."/>
      <w:lvlJc w:val="left"/>
      <w:pPr>
        <w:tabs>
          <w:tab w:val="num" w:pos="360"/>
        </w:tabs>
        <w:ind w:left="360" w:hanging="360"/>
      </w:pPr>
      <w:rPr>
        <w:rFonts w:hint="default"/>
      </w:rPr>
    </w:lvl>
  </w:abstractNum>
  <w:abstractNum w:abstractNumId="24">
    <w:nsid w:val="48E11781"/>
    <w:multiLevelType w:val="singleLevel"/>
    <w:tmpl w:val="DD000118"/>
    <w:lvl w:ilvl="0">
      <w:start w:val="3"/>
      <w:numFmt w:val="decimal"/>
      <w:lvlText w:val="%1."/>
      <w:lvlJc w:val="left"/>
      <w:pPr>
        <w:tabs>
          <w:tab w:val="num" w:pos="720"/>
        </w:tabs>
        <w:ind w:left="720" w:hanging="720"/>
      </w:pPr>
      <w:rPr>
        <w:rFonts w:hint="default"/>
      </w:rPr>
    </w:lvl>
  </w:abstractNum>
  <w:abstractNum w:abstractNumId="25">
    <w:nsid w:val="4A1F4F0B"/>
    <w:multiLevelType w:val="singleLevel"/>
    <w:tmpl w:val="0409000F"/>
    <w:lvl w:ilvl="0">
      <w:start w:val="1"/>
      <w:numFmt w:val="decimal"/>
      <w:lvlText w:val="%1."/>
      <w:lvlJc w:val="left"/>
      <w:pPr>
        <w:tabs>
          <w:tab w:val="num" w:pos="360"/>
        </w:tabs>
        <w:ind w:left="360" w:hanging="360"/>
      </w:pPr>
      <w:rPr>
        <w:rFonts w:hint="default"/>
      </w:rPr>
    </w:lvl>
  </w:abstractNum>
  <w:abstractNum w:abstractNumId="26">
    <w:nsid w:val="4ADB008C"/>
    <w:multiLevelType w:val="multilevel"/>
    <w:tmpl w:val="680CEBF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52746F27"/>
    <w:multiLevelType w:val="singleLevel"/>
    <w:tmpl w:val="F9EEBC8E"/>
    <w:lvl w:ilvl="0">
      <w:start w:val="1"/>
      <w:numFmt w:val="decimal"/>
      <w:lvlText w:val="(%1)"/>
      <w:lvlJc w:val="left"/>
      <w:pPr>
        <w:tabs>
          <w:tab w:val="num" w:pos="2970"/>
        </w:tabs>
        <w:ind w:left="2970" w:hanging="360"/>
      </w:pPr>
      <w:rPr>
        <w:rFonts w:hint="default"/>
      </w:rPr>
    </w:lvl>
  </w:abstractNum>
  <w:abstractNum w:abstractNumId="28">
    <w:nsid w:val="58A7449E"/>
    <w:multiLevelType w:val="multilevel"/>
    <w:tmpl w:val="2904D15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60654C85"/>
    <w:multiLevelType w:val="hybridMultilevel"/>
    <w:tmpl w:val="2BF00094"/>
    <w:lvl w:ilvl="0" w:tplc="E96EAED8">
      <w:start w:val="1"/>
      <w:numFmt w:val="decimal"/>
      <w:lvlText w:val="%1."/>
      <w:lvlJc w:val="left"/>
      <w:pPr>
        <w:tabs>
          <w:tab w:val="num" w:pos="360"/>
        </w:tabs>
        <w:ind w:left="360" w:hanging="360"/>
      </w:pPr>
      <w:rPr>
        <w:rFonts w:hint="default"/>
      </w:rPr>
    </w:lvl>
    <w:lvl w:ilvl="1" w:tplc="07A8F454" w:tentative="1">
      <w:start w:val="1"/>
      <w:numFmt w:val="lowerLetter"/>
      <w:lvlText w:val="%2)"/>
      <w:lvlJc w:val="left"/>
      <w:pPr>
        <w:tabs>
          <w:tab w:val="num" w:pos="840"/>
        </w:tabs>
        <w:ind w:left="840" w:hanging="420"/>
      </w:pPr>
    </w:lvl>
    <w:lvl w:ilvl="2" w:tplc="039CBE68" w:tentative="1">
      <w:start w:val="1"/>
      <w:numFmt w:val="lowerRoman"/>
      <w:lvlText w:val="%3."/>
      <w:lvlJc w:val="right"/>
      <w:pPr>
        <w:tabs>
          <w:tab w:val="num" w:pos="1260"/>
        </w:tabs>
        <w:ind w:left="1260" w:hanging="420"/>
      </w:pPr>
    </w:lvl>
    <w:lvl w:ilvl="3" w:tplc="3C4A5848" w:tentative="1">
      <w:start w:val="1"/>
      <w:numFmt w:val="decimal"/>
      <w:lvlText w:val="%4."/>
      <w:lvlJc w:val="left"/>
      <w:pPr>
        <w:tabs>
          <w:tab w:val="num" w:pos="1680"/>
        </w:tabs>
        <w:ind w:left="1680" w:hanging="420"/>
      </w:pPr>
    </w:lvl>
    <w:lvl w:ilvl="4" w:tplc="4C769A40" w:tentative="1">
      <w:start w:val="1"/>
      <w:numFmt w:val="lowerLetter"/>
      <w:lvlText w:val="%5)"/>
      <w:lvlJc w:val="left"/>
      <w:pPr>
        <w:tabs>
          <w:tab w:val="num" w:pos="2100"/>
        </w:tabs>
        <w:ind w:left="2100" w:hanging="420"/>
      </w:pPr>
    </w:lvl>
    <w:lvl w:ilvl="5" w:tplc="0D56185C" w:tentative="1">
      <w:start w:val="1"/>
      <w:numFmt w:val="lowerRoman"/>
      <w:lvlText w:val="%6."/>
      <w:lvlJc w:val="right"/>
      <w:pPr>
        <w:tabs>
          <w:tab w:val="num" w:pos="2520"/>
        </w:tabs>
        <w:ind w:left="2520" w:hanging="420"/>
      </w:pPr>
    </w:lvl>
    <w:lvl w:ilvl="6" w:tplc="E9946820" w:tentative="1">
      <w:start w:val="1"/>
      <w:numFmt w:val="decimal"/>
      <w:lvlText w:val="%7."/>
      <w:lvlJc w:val="left"/>
      <w:pPr>
        <w:tabs>
          <w:tab w:val="num" w:pos="2940"/>
        </w:tabs>
        <w:ind w:left="2940" w:hanging="420"/>
      </w:pPr>
    </w:lvl>
    <w:lvl w:ilvl="7" w:tplc="2B00E768" w:tentative="1">
      <w:start w:val="1"/>
      <w:numFmt w:val="lowerLetter"/>
      <w:lvlText w:val="%8)"/>
      <w:lvlJc w:val="left"/>
      <w:pPr>
        <w:tabs>
          <w:tab w:val="num" w:pos="3360"/>
        </w:tabs>
        <w:ind w:left="3360" w:hanging="420"/>
      </w:pPr>
    </w:lvl>
    <w:lvl w:ilvl="8" w:tplc="4386F3A2" w:tentative="1">
      <w:start w:val="1"/>
      <w:numFmt w:val="lowerRoman"/>
      <w:lvlText w:val="%9."/>
      <w:lvlJc w:val="right"/>
      <w:pPr>
        <w:tabs>
          <w:tab w:val="num" w:pos="3780"/>
        </w:tabs>
        <w:ind w:left="3780" w:hanging="420"/>
      </w:pPr>
    </w:lvl>
  </w:abstractNum>
  <w:abstractNum w:abstractNumId="30">
    <w:nsid w:val="641F4E42"/>
    <w:multiLevelType w:val="singleLevel"/>
    <w:tmpl w:val="04090001"/>
    <w:lvl w:ilvl="0">
      <w:numFmt w:val="bullet"/>
      <w:lvlText w:val=""/>
      <w:lvlJc w:val="left"/>
      <w:pPr>
        <w:tabs>
          <w:tab w:val="num" w:pos="360"/>
        </w:tabs>
        <w:ind w:left="360" w:hanging="360"/>
      </w:pPr>
      <w:rPr>
        <w:rFonts w:ascii="Symbol" w:hAnsi="Symbol" w:hint="default"/>
      </w:rPr>
    </w:lvl>
  </w:abstractNum>
  <w:abstractNum w:abstractNumId="31">
    <w:nsid w:val="64F26AB9"/>
    <w:multiLevelType w:val="singleLevel"/>
    <w:tmpl w:val="94D66E3E"/>
    <w:lvl w:ilvl="0">
      <w:start w:val="1"/>
      <w:numFmt w:val="upperLetter"/>
      <w:lvlText w:val="%1."/>
      <w:lvlJc w:val="left"/>
      <w:pPr>
        <w:tabs>
          <w:tab w:val="num" w:pos="360"/>
        </w:tabs>
        <w:ind w:left="360" w:hanging="360"/>
      </w:pPr>
      <w:rPr>
        <w:rFonts w:hint="default"/>
      </w:rPr>
    </w:lvl>
  </w:abstractNum>
  <w:abstractNum w:abstractNumId="32">
    <w:nsid w:val="654C593F"/>
    <w:multiLevelType w:val="singleLevel"/>
    <w:tmpl w:val="12C469DE"/>
    <w:lvl w:ilvl="0">
      <w:start w:val="108"/>
      <w:numFmt w:val="decimal"/>
      <w:lvlText w:val="%1."/>
      <w:lvlJc w:val="left"/>
      <w:pPr>
        <w:tabs>
          <w:tab w:val="num" w:pos="510"/>
        </w:tabs>
        <w:ind w:left="510" w:hanging="510"/>
      </w:pPr>
      <w:rPr>
        <w:rFonts w:hint="default"/>
      </w:rPr>
    </w:lvl>
  </w:abstractNum>
  <w:abstractNum w:abstractNumId="33">
    <w:nsid w:val="66AF2525"/>
    <w:multiLevelType w:val="singleLevel"/>
    <w:tmpl w:val="EA460AF0"/>
    <w:lvl w:ilvl="0">
      <w:start w:val="1"/>
      <w:numFmt w:val="decimal"/>
      <w:lvlText w:val="%1."/>
      <w:lvlJc w:val="left"/>
      <w:pPr>
        <w:tabs>
          <w:tab w:val="num" w:pos="720"/>
        </w:tabs>
        <w:ind w:left="720" w:hanging="720"/>
      </w:pPr>
      <w:rPr>
        <w:rFonts w:hint="default"/>
      </w:rPr>
    </w:lvl>
  </w:abstractNum>
  <w:abstractNum w:abstractNumId="34">
    <w:nsid w:val="68B64C66"/>
    <w:multiLevelType w:val="hybridMultilevel"/>
    <w:tmpl w:val="666834F4"/>
    <w:lvl w:ilvl="0" w:tplc="6A2A4E3A">
      <w:start w:val="1"/>
      <w:numFmt w:val="decimal"/>
      <w:lvlText w:val="%1."/>
      <w:lvlJc w:val="left"/>
      <w:pPr>
        <w:tabs>
          <w:tab w:val="num" w:pos="708"/>
        </w:tabs>
        <w:ind w:left="708" w:hanging="708"/>
      </w:pPr>
      <w:rPr>
        <w:rFonts w:hint="default"/>
      </w:rPr>
    </w:lvl>
    <w:lvl w:ilvl="1" w:tplc="626AD420" w:tentative="1">
      <w:start w:val="1"/>
      <w:numFmt w:val="lowerLetter"/>
      <w:lvlText w:val="%2."/>
      <w:lvlJc w:val="left"/>
      <w:pPr>
        <w:tabs>
          <w:tab w:val="num" w:pos="1440"/>
        </w:tabs>
        <w:ind w:left="1440" w:hanging="360"/>
      </w:pPr>
    </w:lvl>
    <w:lvl w:ilvl="2" w:tplc="55727372" w:tentative="1">
      <w:start w:val="1"/>
      <w:numFmt w:val="lowerRoman"/>
      <w:lvlText w:val="%3."/>
      <w:lvlJc w:val="right"/>
      <w:pPr>
        <w:tabs>
          <w:tab w:val="num" w:pos="2160"/>
        </w:tabs>
        <w:ind w:left="2160" w:hanging="180"/>
      </w:pPr>
    </w:lvl>
    <w:lvl w:ilvl="3" w:tplc="49104362" w:tentative="1">
      <w:start w:val="1"/>
      <w:numFmt w:val="decimal"/>
      <w:lvlText w:val="%4."/>
      <w:lvlJc w:val="left"/>
      <w:pPr>
        <w:tabs>
          <w:tab w:val="num" w:pos="2880"/>
        </w:tabs>
        <w:ind w:left="2880" w:hanging="360"/>
      </w:pPr>
    </w:lvl>
    <w:lvl w:ilvl="4" w:tplc="5E509D78" w:tentative="1">
      <w:start w:val="1"/>
      <w:numFmt w:val="lowerLetter"/>
      <w:lvlText w:val="%5."/>
      <w:lvlJc w:val="left"/>
      <w:pPr>
        <w:tabs>
          <w:tab w:val="num" w:pos="3600"/>
        </w:tabs>
        <w:ind w:left="3600" w:hanging="360"/>
      </w:pPr>
    </w:lvl>
    <w:lvl w:ilvl="5" w:tplc="8EA60A2A" w:tentative="1">
      <w:start w:val="1"/>
      <w:numFmt w:val="lowerRoman"/>
      <w:lvlText w:val="%6."/>
      <w:lvlJc w:val="right"/>
      <w:pPr>
        <w:tabs>
          <w:tab w:val="num" w:pos="4320"/>
        </w:tabs>
        <w:ind w:left="4320" w:hanging="180"/>
      </w:pPr>
    </w:lvl>
    <w:lvl w:ilvl="6" w:tplc="6CDA6378" w:tentative="1">
      <w:start w:val="1"/>
      <w:numFmt w:val="decimal"/>
      <w:lvlText w:val="%7."/>
      <w:lvlJc w:val="left"/>
      <w:pPr>
        <w:tabs>
          <w:tab w:val="num" w:pos="5040"/>
        </w:tabs>
        <w:ind w:left="5040" w:hanging="360"/>
      </w:pPr>
    </w:lvl>
    <w:lvl w:ilvl="7" w:tplc="8FFADB56" w:tentative="1">
      <w:start w:val="1"/>
      <w:numFmt w:val="lowerLetter"/>
      <w:lvlText w:val="%8."/>
      <w:lvlJc w:val="left"/>
      <w:pPr>
        <w:tabs>
          <w:tab w:val="num" w:pos="5760"/>
        </w:tabs>
        <w:ind w:left="5760" w:hanging="360"/>
      </w:pPr>
    </w:lvl>
    <w:lvl w:ilvl="8" w:tplc="FE1E76CE" w:tentative="1">
      <w:start w:val="1"/>
      <w:numFmt w:val="lowerRoman"/>
      <w:lvlText w:val="%9."/>
      <w:lvlJc w:val="right"/>
      <w:pPr>
        <w:tabs>
          <w:tab w:val="num" w:pos="6480"/>
        </w:tabs>
        <w:ind w:left="6480" w:hanging="180"/>
      </w:pPr>
    </w:lvl>
  </w:abstractNum>
  <w:abstractNum w:abstractNumId="35">
    <w:nsid w:val="6B363B02"/>
    <w:multiLevelType w:val="hybridMultilevel"/>
    <w:tmpl w:val="0A9EA6FC"/>
    <w:lvl w:ilvl="0" w:tplc="3822BEF0">
      <w:start w:val="1"/>
      <w:numFmt w:val="decimal"/>
      <w:lvlText w:val="%1."/>
      <w:lvlJc w:val="left"/>
      <w:pPr>
        <w:tabs>
          <w:tab w:val="num" w:pos="708"/>
        </w:tabs>
        <w:ind w:left="708" w:hanging="708"/>
      </w:pPr>
      <w:rPr>
        <w:rFonts w:hint="default"/>
      </w:rPr>
    </w:lvl>
    <w:lvl w:ilvl="1" w:tplc="7C22C078" w:tentative="1">
      <w:start w:val="1"/>
      <w:numFmt w:val="lowerLetter"/>
      <w:lvlText w:val="%2."/>
      <w:lvlJc w:val="left"/>
      <w:pPr>
        <w:tabs>
          <w:tab w:val="num" w:pos="1440"/>
        </w:tabs>
        <w:ind w:left="1440" w:hanging="360"/>
      </w:pPr>
    </w:lvl>
    <w:lvl w:ilvl="2" w:tplc="35CADBDE" w:tentative="1">
      <w:start w:val="1"/>
      <w:numFmt w:val="lowerRoman"/>
      <w:lvlText w:val="%3."/>
      <w:lvlJc w:val="right"/>
      <w:pPr>
        <w:tabs>
          <w:tab w:val="num" w:pos="2160"/>
        </w:tabs>
        <w:ind w:left="2160" w:hanging="180"/>
      </w:pPr>
    </w:lvl>
    <w:lvl w:ilvl="3" w:tplc="86EC6FC6" w:tentative="1">
      <w:start w:val="1"/>
      <w:numFmt w:val="decimal"/>
      <w:lvlText w:val="%4."/>
      <w:lvlJc w:val="left"/>
      <w:pPr>
        <w:tabs>
          <w:tab w:val="num" w:pos="2880"/>
        </w:tabs>
        <w:ind w:left="2880" w:hanging="360"/>
      </w:pPr>
    </w:lvl>
    <w:lvl w:ilvl="4" w:tplc="7C9601B2" w:tentative="1">
      <w:start w:val="1"/>
      <w:numFmt w:val="lowerLetter"/>
      <w:lvlText w:val="%5."/>
      <w:lvlJc w:val="left"/>
      <w:pPr>
        <w:tabs>
          <w:tab w:val="num" w:pos="3600"/>
        </w:tabs>
        <w:ind w:left="3600" w:hanging="360"/>
      </w:pPr>
    </w:lvl>
    <w:lvl w:ilvl="5" w:tplc="430208BA" w:tentative="1">
      <w:start w:val="1"/>
      <w:numFmt w:val="lowerRoman"/>
      <w:lvlText w:val="%6."/>
      <w:lvlJc w:val="right"/>
      <w:pPr>
        <w:tabs>
          <w:tab w:val="num" w:pos="4320"/>
        </w:tabs>
        <w:ind w:left="4320" w:hanging="180"/>
      </w:pPr>
    </w:lvl>
    <w:lvl w:ilvl="6" w:tplc="1BF4E856" w:tentative="1">
      <w:start w:val="1"/>
      <w:numFmt w:val="decimal"/>
      <w:lvlText w:val="%7."/>
      <w:lvlJc w:val="left"/>
      <w:pPr>
        <w:tabs>
          <w:tab w:val="num" w:pos="5040"/>
        </w:tabs>
        <w:ind w:left="5040" w:hanging="360"/>
      </w:pPr>
    </w:lvl>
    <w:lvl w:ilvl="7" w:tplc="ACDE3096" w:tentative="1">
      <w:start w:val="1"/>
      <w:numFmt w:val="lowerLetter"/>
      <w:lvlText w:val="%8."/>
      <w:lvlJc w:val="left"/>
      <w:pPr>
        <w:tabs>
          <w:tab w:val="num" w:pos="5760"/>
        </w:tabs>
        <w:ind w:left="5760" w:hanging="360"/>
      </w:pPr>
    </w:lvl>
    <w:lvl w:ilvl="8" w:tplc="4AFE6ACA" w:tentative="1">
      <w:start w:val="1"/>
      <w:numFmt w:val="lowerRoman"/>
      <w:lvlText w:val="%9."/>
      <w:lvlJc w:val="right"/>
      <w:pPr>
        <w:tabs>
          <w:tab w:val="num" w:pos="6480"/>
        </w:tabs>
        <w:ind w:left="6480" w:hanging="180"/>
      </w:pPr>
    </w:lvl>
  </w:abstractNum>
  <w:abstractNum w:abstractNumId="36">
    <w:nsid w:val="6C182608"/>
    <w:multiLevelType w:val="singleLevel"/>
    <w:tmpl w:val="0409000F"/>
    <w:lvl w:ilvl="0">
      <w:start w:val="1"/>
      <w:numFmt w:val="decimal"/>
      <w:lvlText w:val="%1."/>
      <w:lvlJc w:val="left"/>
      <w:pPr>
        <w:tabs>
          <w:tab w:val="num" w:pos="360"/>
        </w:tabs>
        <w:ind w:left="360" w:hanging="360"/>
      </w:pPr>
    </w:lvl>
  </w:abstractNum>
  <w:abstractNum w:abstractNumId="37">
    <w:nsid w:val="6D6D314E"/>
    <w:multiLevelType w:val="singleLevel"/>
    <w:tmpl w:val="040B0015"/>
    <w:lvl w:ilvl="0">
      <w:start w:val="1"/>
      <w:numFmt w:val="upperLetter"/>
      <w:lvlText w:val="%1."/>
      <w:lvlJc w:val="left"/>
      <w:pPr>
        <w:tabs>
          <w:tab w:val="num" w:pos="360"/>
        </w:tabs>
        <w:ind w:left="360" w:hanging="360"/>
      </w:pPr>
      <w:rPr>
        <w:rFonts w:hint="default"/>
      </w:rPr>
    </w:lvl>
  </w:abstractNum>
  <w:abstractNum w:abstractNumId="38">
    <w:nsid w:val="6E3B25C3"/>
    <w:multiLevelType w:val="multilevel"/>
    <w:tmpl w:val="6322668E"/>
    <w:lvl w:ilvl="0">
      <w:start w:val="5"/>
      <w:numFmt w:val="decimal"/>
      <w:lvlText w:val="%1."/>
      <w:lvlJc w:val="left"/>
      <w:pPr>
        <w:tabs>
          <w:tab w:val="num" w:pos="720"/>
        </w:tabs>
        <w:ind w:left="720" w:hanging="720"/>
      </w:pPr>
      <w:rPr>
        <w:rFonts w:hint="default"/>
      </w:rPr>
    </w:lvl>
    <w:lvl w:ilvl="1">
      <w:start w:val="1"/>
      <w:numFmt w:val="decimal"/>
      <w:lvlText w:val="%2)"/>
      <w:legacy w:legacy="1" w:legacySpace="0" w:legacyIndent="540"/>
      <w:lvlJc w:val="left"/>
      <w:pPr>
        <w:ind w:left="1080" w:hanging="540"/>
      </w:pPr>
    </w:lvl>
    <w:lvl w:ilvl="2">
      <w:start w:val="1"/>
      <w:numFmt w:val="decimal"/>
      <w:lvlText w:val="%3)"/>
      <w:legacy w:legacy="1" w:legacySpace="0" w:legacyIndent="540"/>
      <w:lvlJc w:val="left"/>
      <w:pPr>
        <w:ind w:left="1620" w:hanging="540"/>
      </w:pPr>
    </w:lvl>
    <w:lvl w:ilvl="3">
      <w:start w:val="1"/>
      <w:numFmt w:val="decimal"/>
      <w:lvlText w:val="%4)"/>
      <w:legacy w:legacy="1" w:legacySpace="0" w:legacyIndent="540"/>
      <w:lvlJc w:val="left"/>
      <w:pPr>
        <w:ind w:left="2160" w:hanging="540"/>
      </w:pPr>
    </w:lvl>
    <w:lvl w:ilvl="4">
      <w:start w:val="1"/>
      <w:numFmt w:val="decimal"/>
      <w:lvlText w:val="%5)"/>
      <w:legacy w:legacy="1" w:legacySpace="0" w:legacyIndent="540"/>
      <w:lvlJc w:val="left"/>
      <w:pPr>
        <w:ind w:left="2700" w:hanging="540"/>
      </w:pPr>
    </w:lvl>
    <w:lvl w:ilvl="5">
      <w:start w:val="1"/>
      <w:numFmt w:val="decimal"/>
      <w:lvlText w:val="%6)"/>
      <w:legacy w:legacy="1" w:legacySpace="0" w:legacyIndent="540"/>
      <w:lvlJc w:val="left"/>
      <w:pPr>
        <w:ind w:left="3240" w:hanging="540"/>
      </w:pPr>
    </w:lvl>
    <w:lvl w:ilvl="6">
      <w:start w:val="1"/>
      <w:numFmt w:val="decimal"/>
      <w:lvlText w:val="%7)"/>
      <w:legacy w:legacy="1" w:legacySpace="0" w:legacyIndent="540"/>
      <w:lvlJc w:val="left"/>
      <w:pPr>
        <w:ind w:left="3780" w:hanging="540"/>
      </w:pPr>
    </w:lvl>
    <w:lvl w:ilvl="7">
      <w:start w:val="1"/>
      <w:numFmt w:val="decimal"/>
      <w:lvlText w:val="%8)"/>
      <w:legacy w:legacy="1" w:legacySpace="0" w:legacyIndent="540"/>
      <w:lvlJc w:val="left"/>
      <w:pPr>
        <w:ind w:left="4320" w:hanging="540"/>
      </w:pPr>
    </w:lvl>
    <w:lvl w:ilvl="8">
      <w:start w:val="1"/>
      <w:numFmt w:val="lowerRoman"/>
      <w:lvlText w:val="%9"/>
      <w:legacy w:legacy="1" w:legacySpace="0" w:legacyIndent="540"/>
      <w:lvlJc w:val="left"/>
      <w:pPr>
        <w:ind w:left="4860" w:hanging="540"/>
      </w:pPr>
    </w:lvl>
  </w:abstractNum>
  <w:abstractNum w:abstractNumId="39">
    <w:nsid w:val="701B7B80"/>
    <w:multiLevelType w:val="singleLevel"/>
    <w:tmpl w:val="542452EA"/>
    <w:lvl w:ilvl="0">
      <w:start w:val="1"/>
      <w:numFmt w:val="decimal"/>
      <w:lvlText w:val="%1."/>
      <w:lvlJc w:val="left"/>
      <w:pPr>
        <w:tabs>
          <w:tab w:val="num" w:pos="360"/>
        </w:tabs>
        <w:ind w:left="360" w:hanging="360"/>
      </w:pPr>
      <w:rPr>
        <w:rFonts w:hint="eastAsia"/>
      </w:rPr>
    </w:lvl>
  </w:abstractNum>
  <w:abstractNum w:abstractNumId="40">
    <w:nsid w:val="73D639AD"/>
    <w:multiLevelType w:val="singleLevel"/>
    <w:tmpl w:val="ADA667F4"/>
    <w:lvl w:ilvl="0">
      <w:start w:val="1"/>
      <w:numFmt w:val="upperLetter"/>
      <w:lvlText w:val="%1."/>
      <w:lvlJc w:val="left"/>
      <w:pPr>
        <w:tabs>
          <w:tab w:val="num" w:pos="360"/>
        </w:tabs>
        <w:ind w:left="360" w:hanging="360"/>
      </w:pPr>
      <w:rPr>
        <w:rFonts w:hint="default"/>
      </w:rPr>
    </w:lvl>
  </w:abstractNum>
  <w:abstractNum w:abstractNumId="41">
    <w:nsid w:val="779E3787"/>
    <w:multiLevelType w:val="singleLevel"/>
    <w:tmpl w:val="0C5688F6"/>
    <w:lvl w:ilvl="0">
      <w:start w:val="1"/>
      <w:numFmt w:val="decimal"/>
      <w:lvlText w:val="%1."/>
      <w:lvlJc w:val="left"/>
      <w:pPr>
        <w:tabs>
          <w:tab w:val="num" w:pos="360"/>
        </w:tabs>
        <w:ind w:left="360" w:hanging="360"/>
      </w:pPr>
      <w:rPr>
        <w:b w:val="0"/>
        <w:i w:val="0"/>
        <w:sz w:val="24"/>
      </w:rPr>
    </w:lvl>
  </w:abstractNum>
  <w:abstractNum w:abstractNumId="42">
    <w:nsid w:val="793A03E0"/>
    <w:multiLevelType w:val="multilevel"/>
    <w:tmpl w:val="92B6BA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7C3D0209"/>
    <w:multiLevelType w:val="hybridMultilevel"/>
    <w:tmpl w:val="8904CFC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4">
    <w:nsid w:val="7D114AF4"/>
    <w:multiLevelType w:val="singleLevel"/>
    <w:tmpl w:val="9ABCB2E6"/>
    <w:lvl w:ilvl="0">
      <w:start w:val="10"/>
      <w:numFmt w:val="decimal"/>
      <w:lvlText w:val="%1."/>
      <w:lvlJc w:val="left"/>
      <w:pPr>
        <w:tabs>
          <w:tab w:val="num" w:pos="540"/>
        </w:tabs>
        <w:ind w:left="540" w:hanging="540"/>
      </w:pPr>
      <w:rPr>
        <w:rFonts w:hint="default"/>
      </w:rPr>
    </w:lvl>
  </w:abstractNum>
  <w:abstractNum w:abstractNumId="45">
    <w:nsid w:val="7F9E1436"/>
    <w:multiLevelType w:val="singleLevel"/>
    <w:tmpl w:val="FDBE0046"/>
    <w:lvl w:ilvl="0">
      <w:start w:val="1"/>
      <w:numFmt w:val="upperLetter"/>
      <w:lvlText w:val="%1."/>
      <w:lvlJc w:val="left"/>
      <w:pPr>
        <w:tabs>
          <w:tab w:val="num" w:pos="360"/>
        </w:tabs>
        <w:ind w:left="360" w:hanging="360"/>
      </w:pPr>
      <w:rPr>
        <w:rFonts w:hint="default"/>
      </w:rPr>
    </w:lvl>
  </w:abstractNum>
  <w:num w:numId="1">
    <w:abstractNumId w:val="7"/>
  </w:num>
  <w:num w:numId="2">
    <w:abstractNumId w:val="1"/>
  </w:num>
  <w:num w:numId="3">
    <w:abstractNumId w:val="0"/>
  </w:num>
  <w:num w:numId="4">
    <w:abstractNumId w:val="24"/>
  </w:num>
  <w:num w:numId="5">
    <w:abstractNumId w:val="25"/>
  </w:num>
  <w:num w:numId="6">
    <w:abstractNumId w:val="17"/>
  </w:num>
  <w:num w:numId="7">
    <w:abstractNumId w:val="8"/>
  </w:num>
  <w:num w:numId="8">
    <w:abstractNumId w:val="38"/>
  </w:num>
  <w:num w:numId="9">
    <w:abstractNumId w:val="3"/>
  </w:num>
  <w:num w:numId="10">
    <w:abstractNumId w:val="16"/>
  </w:num>
  <w:num w:numId="11">
    <w:abstractNumId w:val="30"/>
  </w:num>
  <w:num w:numId="12">
    <w:abstractNumId w:val="6"/>
  </w:num>
  <w:num w:numId="13">
    <w:abstractNumId w:val="36"/>
  </w:num>
  <w:num w:numId="14">
    <w:abstractNumId w:val="18"/>
  </w:num>
  <w:num w:numId="15">
    <w:abstractNumId w:val="44"/>
  </w:num>
  <w:num w:numId="16">
    <w:abstractNumId w:val="41"/>
  </w:num>
  <w:num w:numId="17">
    <w:abstractNumId w:val="10"/>
  </w:num>
  <w:num w:numId="18">
    <w:abstractNumId w:val="33"/>
  </w:num>
  <w:num w:numId="19">
    <w:abstractNumId w:val="4"/>
  </w:num>
  <w:num w:numId="20">
    <w:abstractNumId w:val="5"/>
  </w:num>
  <w:num w:numId="21">
    <w:abstractNumId w:val="31"/>
  </w:num>
  <w:num w:numId="22">
    <w:abstractNumId w:val="2"/>
  </w:num>
  <w:num w:numId="23">
    <w:abstractNumId w:val="45"/>
  </w:num>
  <w:num w:numId="24">
    <w:abstractNumId w:val="40"/>
  </w:num>
  <w:num w:numId="25">
    <w:abstractNumId w:val="21"/>
  </w:num>
  <w:num w:numId="26">
    <w:abstractNumId w:val="15"/>
  </w:num>
  <w:num w:numId="2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28"/>
  </w:num>
  <w:num w:numId="30">
    <w:abstractNumId w:val="13"/>
  </w:num>
  <w:num w:numId="31">
    <w:abstractNumId w:val="27"/>
  </w:num>
  <w:num w:numId="32">
    <w:abstractNumId w:val="37"/>
  </w:num>
  <w:num w:numId="33">
    <w:abstractNumId w:val="23"/>
  </w:num>
  <w:num w:numId="34">
    <w:abstractNumId w:val="12"/>
  </w:num>
  <w:num w:numId="35">
    <w:abstractNumId w:val="22"/>
  </w:num>
  <w:num w:numId="36">
    <w:abstractNumId w:val="32"/>
  </w:num>
  <w:num w:numId="37">
    <w:abstractNumId w:val="9"/>
  </w:num>
  <w:num w:numId="38">
    <w:abstractNumId w:val="20"/>
  </w:num>
  <w:num w:numId="39">
    <w:abstractNumId w:val="14"/>
  </w:num>
  <w:num w:numId="40">
    <w:abstractNumId w:val="34"/>
  </w:num>
  <w:num w:numId="41">
    <w:abstractNumId w:val="35"/>
  </w:num>
  <w:num w:numId="42">
    <w:abstractNumId w:val="19"/>
  </w:num>
  <w:num w:numId="43">
    <w:abstractNumId w:val="29"/>
  </w:num>
  <w:num w:numId="44">
    <w:abstractNumId w:val="39"/>
  </w:num>
  <w:num w:numId="45">
    <w:abstractNumId w:val="43"/>
  </w:num>
  <w:num w:numId="4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defaultTabStop w:val="709"/>
  <w:hyphenationZone w:val="357"/>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useFELayout/>
  </w:compat>
  <w:rsids>
    <w:rsidRoot w:val="000C773F"/>
    <w:rsid w:val="0003087D"/>
    <w:rsid w:val="0008232E"/>
    <w:rsid w:val="0008243E"/>
    <w:rsid w:val="0008719B"/>
    <w:rsid w:val="0008719E"/>
    <w:rsid w:val="000A75C5"/>
    <w:rsid w:val="000B4196"/>
    <w:rsid w:val="000C7653"/>
    <w:rsid w:val="000C773F"/>
    <w:rsid w:val="00105359"/>
    <w:rsid w:val="00105BC5"/>
    <w:rsid w:val="00127C6C"/>
    <w:rsid w:val="00140532"/>
    <w:rsid w:val="001A6ED4"/>
    <w:rsid w:val="001D57C2"/>
    <w:rsid w:val="00237036"/>
    <w:rsid w:val="00242011"/>
    <w:rsid w:val="002818E4"/>
    <w:rsid w:val="002829ED"/>
    <w:rsid w:val="002D1A2B"/>
    <w:rsid w:val="002F74E7"/>
    <w:rsid w:val="00336354"/>
    <w:rsid w:val="00350C8F"/>
    <w:rsid w:val="003902E8"/>
    <w:rsid w:val="00424E31"/>
    <w:rsid w:val="00457634"/>
    <w:rsid w:val="004C482A"/>
    <w:rsid w:val="004D5A98"/>
    <w:rsid w:val="004E7625"/>
    <w:rsid w:val="00551D60"/>
    <w:rsid w:val="00553F66"/>
    <w:rsid w:val="0056245D"/>
    <w:rsid w:val="005B0AB4"/>
    <w:rsid w:val="005B681F"/>
    <w:rsid w:val="005F345A"/>
    <w:rsid w:val="0061426C"/>
    <w:rsid w:val="00637B64"/>
    <w:rsid w:val="00652532"/>
    <w:rsid w:val="006644EB"/>
    <w:rsid w:val="006E2CBE"/>
    <w:rsid w:val="006F028F"/>
    <w:rsid w:val="006F19AE"/>
    <w:rsid w:val="00731952"/>
    <w:rsid w:val="00746DE2"/>
    <w:rsid w:val="00754477"/>
    <w:rsid w:val="007579BB"/>
    <w:rsid w:val="007A1C80"/>
    <w:rsid w:val="007A5494"/>
    <w:rsid w:val="007B4A60"/>
    <w:rsid w:val="00804366"/>
    <w:rsid w:val="00815F63"/>
    <w:rsid w:val="008165CF"/>
    <w:rsid w:val="008361BA"/>
    <w:rsid w:val="00853B7B"/>
    <w:rsid w:val="008658DD"/>
    <w:rsid w:val="008E5299"/>
    <w:rsid w:val="0091360C"/>
    <w:rsid w:val="00944D14"/>
    <w:rsid w:val="00947CE8"/>
    <w:rsid w:val="009607BE"/>
    <w:rsid w:val="00962568"/>
    <w:rsid w:val="00972415"/>
    <w:rsid w:val="009D27A3"/>
    <w:rsid w:val="009F4871"/>
    <w:rsid w:val="00A30BEC"/>
    <w:rsid w:val="00A33570"/>
    <w:rsid w:val="00A426DA"/>
    <w:rsid w:val="00A57D12"/>
    <w:rsid w:val="00A92FDD"/>
    <w:rsid w:val="00AA003F"/>
    <w:rsid w:val="00B13AE9"/>
    <w:rsid w:val="00B15B1B"/>
    <w:rsid w:val="00B15C71"/>
    <w:rsid w:val="00B2209A"/>
    <w:rsid w:val="00B278AD"/>
    <w:rsid w:val="00B27D97"/>
    <w:rsid w:val="00B615DC"/>
    <w:rsid w:val="00BA7639"/>
    <w:rsid w:val="00BB061E"/>
    <w:rsid w:val="00BB1BBC"/>
    <w:rsid w:val="00BE1BE0"/>
    <w:rsid w:val="00BE5264"/>
    <w:rsid w:val="00C11A2F"/>
    <w:rsid w:val="00C170F3"/>
    <w:rsid w:val="00C32CA1"/>
    <w:rsid w:val="00C4655D"/>
    <w:rsid w:val="00C72727"/>
    <w:rsid w:val="00C87ABB"/>
    <w:rsid w:val="00CA2850"/>
    <w:rsid w:val="00CA58DB"/>
    <w:rsid w:val="00CB2827"/>
    <w:rsid w:val="00CF13F5"/>
    <w:rsid w:val="00D0317B"/>
    <w:rsid w:val="00D04511"/>
    <w:rsid w:val="00D66376"/>
    <w:rsid w:val="00D66550"/>
    <w:rsid w:val="00DD023B"/>
    <w:rsid w:val="00DD4C9D"/>
    <w:rsid w:val="00DD4FD6"/>
    <w:rsid w:val="00DD509C"/>
    <w:rsid w:val="00DE7FFE"/>
    <w:rsid w:val="00E01D46"/>
    <w:rsid w:val="00E05F8B"/>
    <w:rsid w:val="00E17C70"/>
    <w:rsid w:val="00E340E8"/>
    <w:rsid w:val="00E506A7"/>
    <w:rsid w:val="00E56696"/>
    <w:rsid w:val="00E71A4A"/>
    <w:rsid w:val="00EE2102"/>
    <w:rsid w:val="00F116B0"/>
    <w:rsid w:val="00F337F6"/>
    <w:rsid w:val="00F42523"/>
    <w:rsid w:val="00F668B5"/>
    <w:rsid w:val="00F81046"/>
    <w:rsid w:val="00FA3C6B"/>
    <w:rsid w:val="00FF429F"/>
  </w:rsids>
  <m:mathPr>
    <m:mathFont m:val="Cambria Math"/>
    <m:brkBin m:val="before"/>
    <m:brkBinSub m:val="--"/>
    <m:smallFrac m:val="off"/>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t-EE" w:eastAsia="et-E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7D12"/>
    <w:pPr>
      <w:spacing w:line="340" w:lineRule="atLeast"/>
      <w:jc w:val="both"/>
    </w:pPr>
    <w:rPr>
      <w:rFonts w:eastAsia="Times New Roman"/>
      <w:color w:val="000000"/>
      <w:sz w:val="24"/>
      <w:lang w:val="en-US" w:eastAsia="de-DE"/>
    </w:rPr>
  </w:style>
  <w:style w:type="paragraph" w:styleId="Heading1">
    <w:name w:val="heading 1"/>
    <w:aliases w:val="x"/>
    <w:basedOn w:val="Normal"/>
    <w:next w:val="Normal"/>
    <w:qFormat/>
    <w:rsid w:val="00A57D12"/>
    <w:pPr>
      <w:spacing w:before="240"/>
      <w:outlineLvl w:val="0"/>
    </w:pPr>
    <w:rPr>
      <w:rFonts w:ascii="Arial" w:hAnsi="Arial"/>
      <w:b/>
      <w:u w:val="single"/>
    </w:rPr>
  </w:style>
  <w:style w:type="paragraph" w:styleId="Heading2">
    <w:name w:val="heading 2"/>
    <w:basedOn w:val="Normal"/>
    <w:next w:val="Normal"/>
    <w:qFormat/>
    <w:rsid w:val="00A57D12"/>
    <w:pPr>
      <w:spacing w:before="120"/>
      <w:outlineLvl w:val="1"/>
    </w:pPr>
    <w:rPr>
      <w:rFonts w:ascii="Arial" w:hAnsi="Arial"/>
      <w:b/>
    </w:rPr>
  </w:style>
  <w:style w:type="paragraph" w:styleId="Heading3">
    <w:name w:val="heading 3"/>
    <w:basedOn w:val="Normal"/>
    <w:next w:val="Normal"/>
    <w:qFormat/>
    <w:rsid w:val="00A57D12"/>
    <w:pPr>
      <w:ind w:left="354"/>
      <w:outlineLvl w:val="2"/>
    </w:pPr>
    <w:rPr>
      <w:b/>
    </w:rPr>
  </w:style>
  <w:style w:type="paragraph" w:styleId="Heading4">
    <w:name w:val="heading 4"/>
    <w:basedOn w:val="Normal"/>
    <w:next w:val="Normal"/>
    <w:qFormat/>
    <w:rsid w:val="00A57D12"/>
    <w:pPr>
      <w:keepNext/>
      <w:keepLines/>
      <w:spacing w:before="240" w:line="480" w:lineRule="atLeast"/>
      <w:ind w:left="907" w:hanging="907"/>
      <w:outlineLvl w:val="3"/>
    </w:pPr>
    <w:rPr>
      <w:rFonts w:ascii="Arial" w:hAnsi="Arial"/>
      <w:b/>
      <w:color w:val="auto"/>
      <w:sz w:val="22"/>
    </w:rPr>
  </w:style>
  <w:style w:type="paragraph" w:styleId="Heading5">
    <w:name w:val="heading 5"/>
    <w:basedOn w:val="Normal"/>
    <w:next w:val="Normal"/>
    <w:qFormat/>
    <w:rsid w:val="00A57D12"/>
    <w:pPr>
      <w:ind w:left="708"/>
      <w:outlineLvl w:val="4"/>
    </w:pPr>
    <w:rPr>
      <w:b/>
    </w:rPr>
  </w:style>
  <w:style w:type="paragraph" w:styleId="Heading6">
    <w:name w:val="heading 6"/>
    <w:basedOn w:val="Normal"/>
    <w:next w:val="Normal"/>
    <w:qFormat/>
    <w:rsid w:val="00A57D12"/>
    <w:pPr>
      <w:ind w:left="708"/>
      <w:outlineLvl w:val="5"/>
    </w:pPr>
    <w:rPr>
      <w:u w:val="single"/>
    </w:rPr>
  </w:style>
  <w:style w:type="paragraph" w:styleId="Heading7">
    <w:name w:val="heading 7"/>
    <w:basedOn w:val="Normal"/>
    <w:next w:val="Normal"/>
    <w:qFormat/>
    <w:rsid w:val="00A57D12"/>
    <w:pPr>
      <w:ind w:left="708"/>
      <w:outlineLvl w:val="6"/>
    </w:pPr>
    <w:rPr>
      <w:i/>
    </w:rPr>
  </w:style>
  <w:style w:type="paragraph" w:styleId="Heading8">
    <w:name w:val="heading 8"/>
    <w:basedOn w:val="Normal"/>
    <w:next w:val="Normal"/>
    <w:qFormat/>
    <w:rsid w:val="00A57D12"/>
    <w:pPr>
      <w:ind w:left="708"/>
      <w:outlineLvl w:val="7"/>
    </w:pPr>
    <w:rPr>
      <w:i/>
    </w:rPr>
  </w:style>
  <w:style w:type="paragraph" w:styleId="Heading9">
    <w:name w:val="heading 9"/>
    <w:basedOn w:val="Normal"/>
    <w:next w:val="Normal"/>
    <w:qFormat/>
    <w:rsid w:val="00A57D12"/>
    <w:pPr>
      <w:ind w:left="708"/>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Header">
    <w:name w:val="M_Header"/>
    <w:basedOn w:val="Normal"/>
    <w:rsid w:val="00A57D12"/>
  </w:style>
  <w:style w:type="paragraph" w:customStyle="1" w:styleId="MTitel">
    <w:name w:val="M_Titel"/>
    <w:basedOn w:val="Normal"/>
    <w:autoRedefine/>
    <w:rsid w:val="00A57D12"/>
    <w:pPr>
      <w:spacing w:line="240" w:lineRule="auto"/>
      <w:jc w:val="left"/>
    </w:pPr>
    <w:rPr>
      <w:b/>
      <w:sz w:val="36"/>
    </w:rPr>
  </w:style>
  <w:style w:type="paragraph" w:customStyle="1" w:styleId="MHeading1">
    <w:name w:val="M_Heading1"/>
    <w:basedOn w:val="Normal"/>
    <w:rsid w:val="00DD4FD6"/>
    <w:pPr>
      <w:spacing w:before="240" w:after="240"/>
    </w:pPr>
    <w:rPr>
      <w:b/>
      <w:lang w:eastAsia="en-US"/>
    </w:rPr>
  </w:style>
  <w:style w:type="paragraph" w:customStyle="1" w:styleId="MText">
    <w:name w:val="M_Text"/>
    <w:basedOn w:val="Normal"/>
    <w:rsid w:val="00A57D12"/>
    <w:pPr>
      <w:ind w:firstLine="284"/>
    </w:pPr>
  </w:style>
  <w:style w:type="paragraph" w:customStyle="1" w:styleId="MHeading2">
    <w:name w:val="M_Heading2"/>
    <w:basedOn w:val="Normal"/>
    <w:rsid w:val="00A57D12"/>
    <w:pPr>
      <w:spacing w:before="240" w:after="240"/>
    </w:pPr>
    <w:rPr>
      <w:i/>
    </w:rPr>
  </w:style>
  <w:style w:type="paragraph" w:customStyle="1" w:styleId="MHeading3">
    <w:name w:val="M_Heading3"/>
    <w:basedOn w:val="Normal"/>
    <w:rsid w:val="00A57D12"/>
    <w:pPr>
      <w:spacing w:before="240" w:after="240"/>
    </w:pPr>
  </w:style>
  <w:style w:type="paragraph" w:customStyle="1" w:styleId="MAcknow">
    <w:name w:val="M_Acknow"/>
    <w:basedOn w:val="Normal"/>
    <w:rsid w:val="00A57D12"/>
  </w:style>
  <w:style w:type="paragraph" w:customStyle="1" w:styleId="MRefer">
    <w:name w:val="M_Refer"/>
    <w:basedOn w:val="Normal"/>
    <w:rsid w:val="00A57D12"/>
    <w:pPr>
      <w:ind w:left="454" w:hanging="454"/>
    </w:pPr>
  </w:style>
  <w:style w:type="paragraph" w:customStyle="1" w:styleId="MCaption">
    <w:name w:val="M_Caption"/>
    <w:basedOn w:val="Normal"/>
    <w:rsid w:val="00A57D12"/>
    <w:pPr>
      <w:spacing w:before="240" w:after="240"/>
      <w:jc w:val="center"/>
    </w:pPr>
  </w:style>
  <w:style w:type="paragraph" w:customStyle="1" w:styleId="MFigure">
    <w:name w:val="M_Figure"/>
    <w:basedOn w:val="Normal"/>
    <w:rsid w:val="00A57D12"/>
    <w:pPr>
      <w:spacing w:before="240" w:line="240" w:lineRule="auto"/>
      <w:jc w:val="center"/>
    </w:pPr>
  </w:style>
  <w:style w:type="paragraph" w:customStyle="1" w:styleId="Mtable">
    <w:name w:val="M_table"/>
    <w:basedOn w:val="Normal"/>
    <w:rsid w:val="00A57D12"/>
    <w:pPr>
      <w:keepNext/>
      <w:tabs>
        <w:tab w:val="left" w:pos="284"/>
      </w:tabs>
    </w:pPr>
    <w:rPr>
      <w:color w:val="auto"/>
    </w:rPr>
  </w:style>
  <w:style w:type="paragraph" w:customStyle="1" w:styleId="Mabstract">
    <w:name w:val="M_abstract"/>
    <w:basedOn w:val="Normal"/>
    <w:rsid w:val="00A57D12"/>
    <w:pPr>
      <w:spacing w:before="240"/>
      <w:ind w:left="510" w:right="510"/>
    </w:pPr>
  </w:style>
  <w:style w:type="paragraph" w:customStyle="1" w:styleId="Maddress">
    <w:name w:val="M_address"/>
    <w:basedOn w:val="Normal"/>
    <w:rsid w:val="00A57D12"/>
    <w:pPr>
      <w:spacing w:before="240"/>
      <w:jc w:val="left"/>
    </w:pPr>
  </w:style>
  <w:style w:type="paragraph" w:customStyle="1" w:styleId="Mauthor">
    <w:name w:val="M_author"/>
    <w:basedOn w:val="Normal"/>
    <w:autoRedefine/>
    <w:rsid w:val="00A57D12"/>
    <w:pPr>
      <w:spacing w:before="240"/>
      <w:jc w:val="left"/>
    </w:pPr>
    <w:rPr>
      <w:b/>
      <w:lang w:val="it-IT"/>
    </w:rPr>
  </w:style>
  <w:style w:type="paragraph" w:customStyle="1" w:styleId="Mreceived">
    <w:name w:val="M_received"/>
    <w:basedOn w:val="Maddress"/>
    <w:rsid w:val="00A57D12"/>
    <w:rPr>
      <w:i/>
    </w:rPr>
  </w:style>
  <w:style w:type="paragraph" w:customStyle="1" w:styleId="Mline2">
    <w:name w:val="M_line2"/>
    <w:basedOn w:val="Normal"/>
    <w:rsid w:val="00A57D12"/>
    <w:pPr>
      <w:pBdr>
        <w:bottom w:val="single" w:sz="6" w:space="1" w:color="auto"/>
      </w:pBdr>
      <w:spacing w:after="480"/>
    </w:pPr>
  </w:style>
  <w:style w:type="paragraph" w:customStyle="1" w:styleId="MTablecaption">
    <w:name w:val="M_Tablecaption"/>
    <w:basedOn w:val="MCaption"/>
    <w:rsid w:val="00A57D12"/>
    <w:pPr>
      <w:spacing w:after="0"/>
    </w:pPr>
  </w:style>
  <w:style w:type="paragraph" w:customStyle="1" w:styleId="Mline1">
    <w:name w:val="M_line1"/>
    <w:basedOn w:val="Mline2"/>
    <w:rsid w:val="00A57D12"/>
    <w:pPr>
      <w:spacing w:after="0"/>
    </w:pPr>
  </w:style>
  <w:style w:type="paragraph" w:customStyle="1" w:styleId="MLogo">
    <w:name w:val="M_Logo"/>
    <w:basedOn w:val="Normal"/>
    <w:rsid w:val="00A57D12"/>
    <w:pPr>
      <w:spacing w:before="140" w:line="240" w:lineRule="auto"/>
      <w:jc w:val="right"/>
    </w:pPr>
    <w:rPr>
      <w:b/>
      <w:i/>
      <w:sz w:val="64"/>
    </w:rPr>
  </w:style>
  <w:style w:type="paragraph" w:customStyle="1" w:styleId="MISSN">
    <w:name w:val="M_ISSN"/>
    <w:basedOn w:val="Normal"/>
    <w:rsid w:val="00A57D12"/>
    <w:pPr>
      <w:spacing w:after="520"/>
      <w:jc w:val="right"/>
    </w:pPr>
  </w:style>
  <w:style w:type="paragraph" w:customStyle="1" w:styleId="MCopyright">
    <w:name w:val="M_Copyright"/>
    <w:basedOn w:val="Normal"/>
    <w:rsid w:val="00A57D12"/>
    <w:pPr>
      <w:tabs>
        <w:tab w:val="center" w:pos="4536"/>
        <w:tab w:val="right" w:pos="9072"/>
      </w:tabs>
      <w:spacing w:before="240"/>
      <w:jc w:val="left"/>
    </w:pPr>
  </w:style>
  <w:style w:type="character" w:styleId="CommentReference">
    <w:name w:val="annotation reference"/>
    <w:basedOn w:val="DefaultParagraphFont"/>
    <w:semiHidden/>
    <w:rsid w:val="00A57D12"/>
    <w:rPr>
      <w:sz w:val="16"/>
      <w:szCs w:val="16"/>
    </w:rPr>
  </w:style>
  <w:style w:type="paragraph" w:styleId="CommentText">
    <w:name w:val="annotation text"/>
    <w:basedOn w:val="Normal"/>
    <w:semiHidden/>
    <w:rsid w:val="00A57D12"/>
    <w:rPr>
      <w:sz w:val="20"/>
    </w:rPr>
  </w:style>
  <w:style w:type="character" w:styleId="Hyperlink">
    <w:name w:val="Hyperlink"/>
    <w:basedOn w:val="DefaultParagraphFont"/>
    <w:semiHidden/>
    <w:rsid w:val="00A57D12"/>
    <w:rPr>
      <w:color w:val="0000FF"/>
      <w:u w:val="single"/>
    </w:rPr>
  </w:style>
  <w:style w:type="paragraph" w:styleId="Header">
    <w:name w:val="header"/>
    <w:basedOn w:val="Normal"/>
    <w:link w:val="HeaderChar"/>
    <w:uiPriority w:val="99"/>
    <w:semiHidden/>
    <w:unhideWhenUsed/>
    <w:rsid w:val="001D57C2"/>
    <w:pPr>
      <w:tabs>
        <w:tab w:val="center" w:pos="4513"/>
        <w:tab w:val="right" w:pos="9026"/>
      </w:tabs>
    </w:pPr>
  </w:style>
  <w:style w:type="character" w:customStyle="1" w:styleId="HeaderChar">
    <w:name w:val="Header Char"/>
    <w:basedOn w:val="DefaultParagraphFont"/>
    <w:link w:val="Header"/>
    <w:uiPriority w:val="99"/>
    <w:semiHidden/>
    <w:rsid w:val="001D57C2"/>
    <w:rPr>
      <w:rFonts w:eastAsia="Times New Roman"/>
      <w:color w:val="000000"/>
      <w:sz w:val="24"/>
      <w:lang w:val="en-US" w:eastAsia="de-DE"/>
    </w:rPr>
  </w:style>
  <w:style w:type="paragraph" w:styleId="Footer">
    <w:name w:val="footer"/>
    <w:basedOn w:val="Normal"/>
    <w:link w:val="FooterChar"/>
    <w:uiPriority w:val="99"/>
    <w:semiHidden/>
    <w:unhideWhenUsed/>
    <w:rsid w:val="001D57C2"/>
    <w:pPr>
      <w:tabs>
        <w:tab w:val="center" w:pos="4513"/>
        <w:tab w:val="right" w:pos="9026"/>
      </w:tabs>
    </w:pPr>
  </w:style>
  <w:style w:type="character" w:customStyle="1" w:styleId="FooterChar">
    <w:name w:val="Footer Char"/>
    <w:basedOn w:val="DefaultParagraphFont"/>
    <w:link w:val="Footer"/>
    <w:uiPriority w:val="99"/>
    <w:semiHidden/>
    <w:rsid w:val="001D57C2"/>
    <w:rPr>
      <w:rFonts w:eastAsia="Times New Roman"/>
      <w:color w:val="000000"/>
      <w:sz w:val="24"/>
      <w:lang w:val="en-US" w:eastAsia="de-DE"/>
    </w:rPr>
  </w:style>
  <w:style w:type="paragraph" w:customStyle="1" w:styleId="M1stheader">
    <w:name w:val="M_1stheader"/>
    <w:basedOn w:val="Normal"/>
    <w:autoRedefine/>
    <w:rsid w:val="00731952"/>
    <w:pPr>
      <w:tabs>
        <w:tab w:val="center" w:pos="4320"/>
        <w:tab w:val="right" w:pos="8640"/>
      </w:tabs>
      <w:ind w:right="360"/>
      <w:outlineLvl w:val="0"/>
    </w:pPr>
    <w:rPr>
      <w:i/>
    </w:rPr>
  </w:style>
  <w:style w:type="paragraph" w:styleId="Title">
    <w:name w:val="Title"/>
    <w:basedOn w:val="Normal"/>
    <w:next w:val="Normal"/>
    <w:link w:val="TitleChar"/>
    <w:uiPriority w:val="10"/>
    <w:qFormat/>
    <w:rsid w:val="005F345A"/>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5F345A"/>
    <w:rPr>
      <w:rFonts w:ascii="Cambria" w:eastAsia="Times New Roman" w:hAnsi="Cambria" w:cs="Times New Roman"/>
      <w:b/>
      <w:bCs/>
      <w:color w:val="000000"/>
      <w:kern w:val="28"/>
      <w:sz w:val="32"/>
      <w:szCs w:val="32"/>
      <w:lang w:val="en-US" w:eastAsia="de-DE"/>
    </w:rPr>
  </w:style>
  <w:style w:type="paragraph" w:styleId="BalloonText">
    <w:name w:val="Balloon Text"/>
    <w:basedOn w:val="Normal"/>
    <w:link w:val="BalloonTextChar"/>
    <w:uiPriority w:val="99"/>
    <w:semiHidden/>
    <w:unhideWhenUsed/>
    <w:rsid w:val="001A6ED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6ED4"/>
    <w:rPr>
      <w:rFonts w:ascii="Tahoma" w:eastAsia="Times New Roman" w:hAnsi="Tahoma" w:cs="Tahoma"/>
      <w:color w:val="000000"/>
      <w:sz w:val="16"/>
      <w:szCs w:val="16"/>
      <w:lang w:val="en-US" w:eastAsia="de-DE"/>
    </w:rPr>
  </w:style>
  <w:style w:type="paragraph" w:styleId="BodyText2">
    <w:name w:val="Body Text 2"/>
    <w:basedOn w:val="Normal"/>
    <w:link w:val="BodyText2Char"/>
    <w:uiPriority w:val="99"/>
    <w:semiHidden/>
    <w:unhideWhenUsed/>
    <w:rsid w:val="00424E31"/>
    <w:pPr>
      <w:spacing w:after="120" w:line="480" w:lineRule="auto"/>
    </w:pPr>
  </w:style>
  <w:style w:type="character" w:customStyle="1" w:styleId="BodyText2Char">
    <w:name w:val="Body Text 2 Char"/>
    <w:basedOn w:val="DefaultParagraphFont"/>
    <w:link w:val="BodyText2"/>
    <w:uiPriority w:val="99"/>
    <w:semiHidden/>
    <w:rsid w:val="00424E31"/>
    <w:rPr>
      <w:rFonts w:eastAsia="Times New Roman"/>
      <w:color w:val="000000"/>
      <w:sz w:val="24"/>
      <w:lang w:val="en-US" w:eastAsia="de-DE"/>
    </w:rPr>
  </w:style>
  <w:style w:type="paragraph" w:styleId="BodyTextIndent2">
    <w:name w:val="Body Text Indent 2"/>
    <w:basedOn w:val="Normal"/>
    <w:link w:val="BodyTextIndent2Char"/>
    <w:rsid w:val="00DD4FD6"/>
    <w:pPr>
      <w:spacing w:after="120" w:line="480" w:lineRule="auto"/>
      <w:ind w:left="283"/>
      <w:jc w:val="left"/>
    </w:pPr>
    <w:rPr>
      <w:color w:val="auto"/>
      <w:szCs w:val="24"/>
      <w:lang w:eastAsia="en-US"/>
    </w:rPr>
  </w:style>
  <w:style w:type="character" w:customStyle="1" w:styleId="BodyTextIndent2Char">
    <w:name w:val="Body Text Indent 2 Char"/>
    <w:basedOn w:val="DefaultParagraphFont"/>
    <w:link w:val="BodyTextIndent2"/>
    <w:rsid w:val="00DD4FD6"/>
    <w:rPr>
      <w:rFonts w:eastAsia="Times New Roman"/>
      <w:sz w:val="24"/>
      <w:szCs w:val="24"/>
      <w:lang w:val="en-US" w:eastAsia="en-US"/>
    </w:rPr>
  </w:style>
  <w:style w:type="character" w:styleId="Strong">
    <w:name w:val="Strong"/>
    <w:basedOn w:val="DefaultParagraphFont"/>
    <w:qFormat/>
    <w:rsid w:val="00DD4FD6"/>
    <w:rPr>
      <w:b/>
      <w:bCs/>
    </w:rPr>
  </w:style>
  <w:style w:type="character" w:styleId="PlaceholderText">
    <w:name w:val="Placeholder Text"/>
    <w:basedOn w:val="DefaultParagraphFont"/>
    <w:uiPriority w:val="99"/>
    <w:semiHidden/>
    <w:rsid w:val="00B278AD"/>
    <w:rPr>
      <w:color w:val="808080"/>
    </w:rPr>
  </w:style>
  <w:style w:type="paragraph" w:styleId="BodyText">
    <w:name w:val="Body Text"/>
    <w:basedOn w:val="Normal"/>
    <w:link w:val="BodyTextChar"/>
    <w:uiPriority w:val="99"/>
    <w:semiHidden/>
    <w:unhideWhenUsed/>
    <w:rsid w:val="00EE2102"/>
    <w:pPr>
      <w:spacing w:after="120"/>
    </w:pPr>
  </w:style>
  <w:style w:type="character" w:customStyle="1" w:styleId="BodyTextChar">
    <w:name w:val="Body Text Char"/>
    <w:basedOn w:val="DefaultParagraphFont"/>
    <w:link w:val="BodyText"/>
    <w:uiPriority w:val="99"/>
    <w:semiHidden/>
    <w:rsid w:val="00EE2102"/>
    <w:rPr>
      <w:rFonts w:eastAsia="Times New Roman"/>
      <w:color w:val="000000"/>
      <w:sz w:val="24"/>
      <w:lang w:val="en-US" w:eastAsia="de-DE"/>
    </w:rPr>
  </w:style>
  <w:style w:type="paragraph" w:customStyle="1" w:styleId="SPIEbodytext">
    <w:name w:val="SPIE body text"/>
    <w:basedOn w:val="Normal"/>
    <w:link w:val="SPIEbodytextCharChar"/>
    <w:rsid w:val="00BE5264"/>
    <w:pPr>
      <w:spacing w:after="120" w:line="240" w:lineRule="auto"/>
    </w:pPr>
    <w:rPr>
      <w:color w:val="auto"/>
      <w:sz w:val="20"/>
      <w:szCs w:val="24"/>
      <w:lang w:eastAsia="en-US"/>
    </w:rPr>
  </w:style>
  <w:style w:type="character" w:customStyle="1" w:styleId="SPIEbodytextCharChar">
    <w:name w:val="SPIE body text Char Char"/>
    <w:basedOn w:val="DefaultParagraphFont"/>
    <w:link w:val="SPIEbodytext"/>
    <w:rsid w:val="00BE5264"/>
    <w:rPr>
      <w:rFonts w:eastAsia="Times New Roman"/>
      <w:szCs w:val="24"/>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no.torop@ut.ee" TargetMode="External"/><Relationship Id="rId13" Type="http://schemas.openxmlformats.org/officeDocument/2006/relationships/image" Target="media/image3.jpeg"/><Relationship Id="rId18" Type="http://schemas.openxmlformats.org/officeDocument/2006/relationships/image" Target="media/image8.emf"/><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footer" Target="footer2.xml"/><Relationship Id="rId10" Type="http://schemas.openxmlformats.org/officeDocument/2006/relationships/hyperlink" Target="mailto:alvo.aabloo@ut.ee" TargetMode="External"/><Relationship Id="rId19" Type="http://schemas.openxmlformats.org/officeDocument/2006/relationships/image" Target="media/image9.emf"/><Relationship Id="rId4" Type="http://schemas.openxmlformats.org/officeDocument/2006/relationships/settings" Target="settings.xml"/><Relationship Id="rId9" Type="http://schemas.openxmlformats.org/officeDocument/2006/relationships/hyperlink" Target="mailto:alvo.aabloo@ut.ee" TargetMode="External"/><Relationship Id="rId14" Type="http://schemas.openxmlformats.org/officeDocument/2006/relationships/image" Target="media/image4.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D689C-A373-401A-BB31-BF812634F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17</Pages>
  <Words>5929</Words>
  <Characters>34392</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Sensors 2007, 7, 1-x manuscripts</vt:lpstr>
    </vt:vector>
  </TitlesOfParts>
  <Company/>
  <LinksUpToDate>false</LinksUpToDate>
  <CharactersWithSpaces>40241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Sensors 2007, 7, 1-x manuscripts</dc:title>
  <dc:creator>Dietrich Rordorf</dc:creator>
  <cp:lastModifiedBy>Janno</cp:lastModifiedBy>
  <cp:revision>4</cp:revision>
  <cp:lastPrinted>2001-01-27T19:53:00Z</cp:lastPrinted>
  <dcterms:created xsi:type="dcterms:W3CDTF">2009-10-15T10:14:00Z</dcterms:created>
  <dcterms:modified xsi:type="dcterms:W3CDTF">2009-10-15T15:10:00Z</dcterms:modified>
</cp:coreProperties>
</file>