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2818E4" w:rsidP="00731952">
      <w:pPr>
        <w:pStyle w:val="MLogo"/>
        <w:spacing w:before="0"/>
        <w:rPr>
          <w:b w:val="0"/>
          <w:i w:val="0"/>
          <w:color w:val="008080"/>
          <w:sz w:val="28"/>
        </w:rPr>
      </w:pPr>
      <w:r w:rsidRPr="00F337F6">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E506A7" w:rsidRDefault="00E506A7"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 Viljar Palmre</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polymer (PTFE). Transducers based on a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Pr="000A75C5">
        <w:rPr>
          <w:lang w:eastAsia="en-US"/>
        </w:rPr>
        <w:t>,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0B4196">
        <w:rPr>
          <w:lang w:eastAsia="en-US"/>
        </w:rPr>
        <w:t>ry small area of samples.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Pr="00424E31">
        <w:rPr>
          <w:lang w:eastAsia="en-US"/>
        </w:rPr>
        <w:t>distribution to.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to supercapacitors. Thereby, rely on association by similarity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 xml:space="preserve">C was additionally oxidized according to the method of the high-temperature treatment of the carbon preliminary saturated with the </w:t>
      </w:r>
      <w:r w:rsidR="0091360C">
        <w:t>trapped water in nanopores [30]</w:t>
      </w:r>
      <w:r w:rsidR="00B615DC" w:rsidRPr="0091360C">
        <w:t>.</w:t>
      </w:r>
    </w:p>
    <w:p w:rsidR="005B0AB4" w:rsidRDefault="005B0AB4" w:rsidP="005B0AB4">
      <w:pPr>
        <w:pStyle w:val="MHeading2"/>
      </w:pPr>
      <w:r>
        <w:t>2.2. Preparation of</w:t>
      </w:r>
      <w:r w:rsidRPr="005B0AB4">
        <w:t xml:space="preserve"> the electrodes</w:t>
      </w:r>
    </w:p>
    <w:p w:rsidR="00C72727" w:rsidRDefault="00C72727" w:rsidP="00C72727">
      <w:pPr>
        <w:pStyle w:val="MText"/>
      </w:pPr>
      <w:r w:rsidRPr="00C72727">
        <w:lastRenderedPageBreak/>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t xml:space="preserve">Before evaluation, the actuator cells were kept at 60 °C for 48 hours, to saturate the compact nanoporous electrode body with the electrolyte. Thereafter, continuous galvanostatic cycling between 2.7 V and 0.05 V with the current </w:t>
      </w:r>
      <w:r w:rsidRPr="00A30BEC">
        <w:rPr>
          <w:i/>
          <w:lang w:eastAsia="en-US"/>
        </w:rPr>
        <w:t>I</w:t>
      </w:r>
      <w:r w:rsidRPr="00A30BEC">
        <w:rPr>
          <w:lang w:eastAsia="en-US"/>
        </w:rPr>
        <w:t xml:space="preserve"> = 100 mA was carried out, prior to performing the further studies. </w:t>
      </w:r>
      <w:r w:rsidRPr="00A30BEC">
        <w:rPr>
          <w:lang w:eastAsia="en-US"/>
        </w:rPr>
        <w:lastRenderedPageBreak/>
        <w:t>The purpose of preliminary galvanostatic cycling is to distribute the electrolyte ions and to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D66550" w:rsidP="00D66550">
            <w:pPr>
              <w:pStyle w:val="MText"/>
              <w:jc w:val="center"/>
            </w:pPr>
            <w:r>
              <w:t>10.2</w:t>
            </w:r>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t xml:space="preserve">3.2. </w:t>
      </w:r>
      <w:r w:rsidRPr="00CA58DB">
        <w:rPr>
          <w:lang w:eastAsia="en-US"/>
        </w:rPr>
        <w:t>Results of electrochemical measurements</w:t>
      </w:r>
    </w:p>
    <w:p w:rsidR="00CA58DB" w:rsidRDefault="00CA58DB" w:rsidP="00CA58DB">
      <w:pPr>
        <w:pStyle w:val="MText"/>
      </w:pPr>
      <w:r>
        <w:lastRenderedPageBreak/>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Pr>
          <w:lang w:eastAsia="en-US"/>
        </w:rPr>
        <w:t xml:space="preserve">Figure 3.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9.3Å, whereas carbon in the actuator EMI800 posses slightly increased APS of 10.2 Å. In Figures 4a and 4b, it is seen that in the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(1.0M TEABF4/PC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and it has also lower capacitance than EMI800. This phenomenon can be explained by the fact that both devices EMI600 and EMI800 used the same EMITf electrolyte which has the unsymmetrical </w:t>
      </w:r>
      <w:r w:rsidRPr="002D1A2B">
        <w:lastRenderedPageBreak/>
        <w:t>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9.3</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E2102" w:rsidRDefault="00237036" w:rsidP="00237036">
      <w:pPr>
        <w:pStyle w:val="MTablecaption"/>
      </w:pPr>
      <w:r>
        <w:rPr>
          <w:b/>
        </w:rPr>
        <w:t>Figure 4.</w:t>
      </w:r>
      <w:r>
        <w:t xml:space="preserve"> </w:t>
      </w:r>
      <w:r w:rsidRPr="00237036">
        <w:t>The linear actuator test cell.</w:t>
      </w:r>
    </w:p>
    <w:p w:rsidR="00237036" w:rsidRDefault="00237036" w:rsidP="00237036">
      <w:pPr>
        <w:pStyle w:val="MFigure"/>
      </w:pPr>
      <w:r>
        <w:rPr>
          <w:b/>
          <w:i/>
          <w:noProof/>
          <w:lang w:val="et-EE" w:eastAsia="et-EE"/>
        </w:rPr>
        <w:lastRenderedPageBreak/>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0" w:name="_Ref226890936"/>
      <w:r w:rsidRPr="006644EB">
        <w:t>CC mode</w:t>
      </w:r>
      <w:bookmarkEnd w:id="0"/>
      <w:r w:rsidRPr="006644EB">
        <w:t xml:space="preserve"> experiments</w:t>
      </w:r>
    </w:p>
    <w:p w:rsidR="006644EB" w:rsidRDefault="006644EB" w:rsidP="006644EB">
      <w:pPr>
        <w:pStyle w:val="MText"/>
      </w:pPr>
      <w:r>
        <w:t xml:space="preserve">In this mode the actuation amplitude was estimated using the constant current charge-discharge process. The amperage of the constant current </w:t>
      </w:r>
      <w:r>
        <w:rPr>
          <w:i/>
        </w:rPr>
        <w:t>I</w:t>
      </w:r>
      <w:r>
        <w:rPr>
          <w:i/>
          <w:vertAlign w:val="subscript"/>
        </w:rPr>
        <w:t>C</w:t>
      </w:r>
      <w:r>
        <w:t xml:space="preserve"> was varied in the range of 10 to 400 mA. The actuation amplitude was recorded simultaneously with charging or discharging current characteristics </w:t>
      </w:r>
      <w:r>
        <w:lastRenderedPageBreak/>
        <w:t>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2.5V. At higher voltages the dissimilarity increases. At 3.0V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m:t>
            </m:r>
            <m:r>
              <w:rPr>
                <w:rFonts w:ascii="Cambria Math" w:hAnsi="Cambria Math"/>
              </w:rPr>
              <m:t>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lastRenderedPageBreak/>
        <w:t xml:space="preserve">Table 4 shows that there exist a correlation between the energy loss and the amplitude of actuation of the actuators at charging current of 70 mA. Actuator TEA800 </w:t>
      </w:r>
      <w:r w:rsidRPr="00B433AB">
        <w:t>possessed</w:t>
      </w:r>
      <w:r>
        <w:t xml:space="preserve"> the highest energy loss during charging cycle and TEA800 overcame the other studied actuators in actuation rate at 70 mA and 300 mA.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actuator of capacitive nature results with the relatively large changes in the covalent bond lengths due to the structure of the band and the Coulombic effects. The actuation is caused by the microscopic dimensional changes of the carbon-polymer electrodes</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Amount of confined ions in nanopores can be enlarged by increasing the diffusion rate. Therefore TiC-800 carbon material is preferred to give quick actuation response, due to its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4D5A98" w:rsidRDefault="004D5A98" w:rsidP="004D5A98">
      <w:pPr>
        <w:pStyle w:val="MText"/>
      </w:pPr>
      <w:r w:rsidRPr="004D5A98">
        <w:t>The efficiencies of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during charging and 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w:t>
      </w:r>
      <w:r w:rsidR="006F028F" w:rsidRPr="006F028F">
        <w:lastRenderedPageBreak/>
        <w:t>calculated from data collected by charging actuators with 70 mA and 300 mA. At current value 70 mA, the average efficiency of the actuators is two times higher than the value calculated at 300 mA. At 300 mA charging current value, the differences in efficiencies tend to decrease because the total energy inserted is significantly decreased compared to values measured at 70 mA. The highest efficiency value 0.014 % we observed actuator EMI600. At current value 70 mA EMI600 has actuation 4.0 mm, which is lowest value compared to other actuators and according energy loss was 3.1 J (see Tab. 4). Thereby, the high efficiency of EMI600 is mainly provided by low energy loss value.</w:t>
      </w:r>
    </w:p>
    <w:p w:rsidR="0008719B" w:rsidRDefault="0008719B" w:rsidP="0008719B">
      <w:pPr>
        <w:pStyle w:val="MTablecaption"/>
      </w:pPr>
      <w:r w:rsidRPr="0008719B">
        <w:rPr>
          <w:b/>
        </w:rPr>
        <w:t>Table 5.</w:t>
      </w:r>
      <w:r>
        <w:t xml:space="preserve">  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08719B">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tcPr>
          <w:p w:rsidR="0008719B" w:rsidRPr="00552C12" w:rsidRDefault="0008719B" w:rsidP="00E506A7">
            <w:pPr>
              <w:pStyle w:val="BodyText"/>
              <w:keepNext/>
              <w:jc w:val="center"/>
              <w:rPr>
                <w:vertAlign w:val="subscript"/>
              </w:rPr>
            </w:pPr>
            <w:r>
              <w:t xml:space="preserve"> Efficiency by E</w:t>
            </w:r>
            <w:r w:rsidRPr="00552C12">
              <w:rPr>
                <w:vertAlign w:val="subscript"/>
              </w:rPr>
              <w:t>in</w:t>
            </w:r>
            <w:r>
              <w:t xml:space="preserve"> (%)</w:t>
            </w:r>
          </w:p>
        </w:tc>
        <w:tc>
          <w:tcPr>
            <w:tcW w:w="1756" w:type="dxa"/>
            <w:tcBorders>
              <w:left w:val="nil"/>
              <w:bottom w:val="single" w:sz="4" w:space="0" w:color="000000"/>
              <w:right w:val="nil"/>
            </w:tcBorders>
          </w:tcPr>
          <w:p w:rsidR="0008719B" w:rsidRPr="00552C12" w:rsidRDefault="0008719B" w:rsidP="00E506A7">
            <w:pPr>
              <w:pStyle w:val="BodyText"/>
              <w:keepNext/>
              <w:jc w:val="center"/>
              <w:rPr>
                <w:vertAlign w:val="subscript"/>
              </w:rPr>
            </w:pPr>
            <w:r>
              <w:t>Efficiency by E</w:t>
            </w:r>
            <w:r w:rsidRPr="00552C12">
              <w:rPr>
                <w:vertAlign w:val="subscript"/>
              </w:rPr>
              <w:t>loss</w:t>
            </w:r>
            <w:r>
              <w:t xml:space="preserve"> (%)</w:t>
            </w:r>
          </w:p>
        </w:tc>
        <w:tc>
          <w:tcPr>
            <w:tcW w:w="1756" w:type="dxa"/>
            <w:tcBorders>
              <w:left w:val="nil"/>
              <w:bottom w:val="single" w:sz="4" w:space="0" w:color="000000"/>
              <w:right w:val="nil"/>
            </w:tcBorders>
          </w:tcPr>
          <w:p w:rsidR="0008719B" w:rsidRPr="00552C12" w:rsidRDefault="0008719B" w:rsidP="00E506A7">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tcPr>
          <w:p w:rsidR="0008719B" w:rsidRPr="00E65714" w:rsidRDefault="0008719B" w:rsidP="00E506A7">
            <w:pPr>
              <w:pStyle w:val="BodyText"/>
              <w:keepNext/>
              <w:jc w:val="center"/>
            </w:pPr>
            <w:r>
              <w:t>Efficiency by E</w:t>
            </w:r>
            <w:r w:rsidRPr="00552C12">
              <w:rPr>
                <w:vertAlign w:val="subscript"/>
              </w:rPr>
              <w:t>loss</w:t>
            </w:r>
            <w:r>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652532" w:rsidRDefault="00652532" w:rsidP="00652532">
      <w:pPr>
        <w:pStyle w:val="MTablecaption"/>
      </w:pPr>
      <w:r w:rsidRPr="00652532">
        <w:rPr>
          <w:b/>
        </w:rPr>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Pr="00652532">
        <w:t xml:space="preserve">V); </w:t>
      </w:r>
      <w:r w:rsidRPr="00652532">
        <w:rPr>
          <w:b/>
        </w:rPr>
        <w:t>(a)</w:t>
      </w:r>
      <w:r w:rsidRPr="00652532">
        <w:t xml:space="preserve"> voltage, </w:t>
      </w:r>
      <w:r>
        <w:t xml:space="preserve">current and actuation vs. time; </w:t>
      </w:r>
      <w:r w:rsidRPr="00652532">
        <w:rPr>
          <w:b/>
        </w:rPr>
        <w:t>(b)</w:t>
      </w:r>
      <w:r w:rsidRPr="00652532">
        <w:t xml:space="preserve"> actuation vs. charge.</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lastRenderedPageBreak/>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Pr="008658DD">
        <w:t xml:space="preserve">= 3 V); </w:t>
      </w:r>
      <w:r w:rsidRPr="008658DD">
        <w:rPr>
          <w:b/>
        </w:rPr>
        <w:t>(a)</w:t>
      </w:r>
      <w:r w:rsidRPr="008658DD">
        <w:t xml:space="preserve"> voltage and current; </w:t>
      </w:r>
      <w:r w:rsidRPr="008658DD">
        <w:rPr>
          <w:b/>
        </w:rPr>
        <w:t>(b)</w:t>
      </w:r>
      <w:r w:rsidRPr="008658DD">
        <w:t xml:space="preserve"> actuation and charge</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Default="004E7625" w:rsidP="004E7625">
      <w:pPr>
        <w:pStyle w:val="MText"/>
      </w:pPr>
      <w:r>
        <w:t>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diffusion-limited process in the porous electrodes. The current dies away slowly due to the internal resistance of the actuator. While discharging by short-circuiting, the adsorbed energy is wasted through the low ohmic discharge resistor.</w:t>
      </w:r>
    </w:p>
    <w:p w:rsidR="008658DD" w:rsidRDefault="004E7625" w:rsidP="004E7625">
      <w:pPr>
        <w:pStyle w:val="MText"/>
        <w:spacing w:before="240"/>
      </w:pPr>
      <w:r>
        <w:t xml:space="preserve">The actuation throughout the simultaneous cycles is of similar characteristics. The peak of actuation (12 </w:t>
      </w:r>
      <w:r>
        <w:sym w:font="Symbol" w:char="F06D"/>
      </w:r>
      <w:r>
        <w:t xml:space="preserve">m) is gained in the both cycles of Figure 8. The average speed of actuation can be calculated from the data of actuation, and is 0.2 </w:t>
      </w:r>
      <w:r>
        <w:sym w:font="Symbol" w:char="F06D"/>
      </w:r>
      <w:r>
        <w:t>m s</w:t>
      </w:r>
      <w:r w:rsidRPr="004E7625">
        <w:rPr>
          <w:vertAlign w:val="superscript"/>
        </w:rPr>
        <w:t>-1</w:t>
      </w:r>
      <w:r>
        <w:t>. Due to the low speed of desorption of ions of the ionic liquid from the porous carbon, the process of discharging is slow and the cell does not relax to its initial thickness between the simultaneous cycles. The actuators are able to gain their initial position after about 5 minutes shorting only.</w:t>
      </w: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lastRenderedPageBreak/>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DD509C" w:rsidRPr="00DD509C" w:rsidRDefault="00DD509C" w:rsidP="00DD509C">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8658DD" w:rsidRDefault="008658DD" w:rsidP="00652532">
      <w:pPr>
        <w:pStyle w:val="MFigure"/>
      </w:pP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cations of EMITf. The density of the TiC-600 carbon material is higher than that of TiC-800. 70 % of the pores of the material TiC-600 are smaller than 11 Å, for the material TiC-800 the corresponding </w:t>
      </w:r>
      <w:r>
        <w:lastRenderedPageBreak/>
        <w:t>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 xml:space="preserve">of the material. Therefore, it is possible to design a structure of CDC material to best suit the electrolyte used, and to enhance the performance of the actuators. During continuous cycling,  good reproducibility of actuation was observed. Displacement of the actuators was measured simultaneously to the electrochemical measurements and obtained the electric energy and mechanical energy dependencies.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t>4</w:t>
      </w:r>
      <w:r>
        <w:rPr>
          <w:lang w:val="fr-FR" w:eastAsia="en-US"/>
        </w:rPr>
        <w:tab/>
      </w:r>
      <w:r w:rsidRPr="00E506A7">
        <w:rPr>
          <w:lang w:val="fr-FR" w:eastAsia="en-US"/>
        </w:rPr>
        <w:t xml:space="preserve">Wilsona, S. A.; Jourdaina, R.-P. J.; Zhanga, Q.; Doreya, R. A.; Bowenb C. R. </w:t>
      </w:r>
      <w:bookmarkStart w:id="1" w:name="bfn1"/>
      <w:bookmarkStart w:id="2" w:name="bfn2"/>
      <w:bookmarkStart w:id="3" w:name="bfn3"/>
      <w:bookmarkStart w:id="4" w:name="bfn5"/>
      <w:bookmarkStart w:id="5" w:name="bfn6"/>
      <w:bookmarkStart w:id="6" w:name="bfn7"/>
      <w:bookmarkStart w:id="7" w:name="bfn8"/>
      <w:bookmarkStart w:id="8" w:name="bfn9"/>
      <w:bookmarkStart w:id="9" w:name="bfn12"/>
      <w:bookmarkStart w:id="10" w:name="bfn13"/>
      <w:bookmarkStart w:id="11" w:name="bfn14"/>
      <w:bookmarkStart w:id="12" w:name="bfn15"/>
      <w:bookmarkStart w:id="13" w:name="bfn16"/>
      <w:bookmarkStart w:id="14" w:name="bfn17"/>
      <w:bookmarkEnd w:id="1"/>
      <w:bookmarkEnd w:id="2"/>
      <w:bookmarkEnd w:id="3"/>
      <w:bookmarkEnd w:id="4"/>
      <w:bookmarkEnd w:id="5"/>
      <w:bookmarkEnd w:id="6"/>
      <w:bookmarkEnd w:id="7"/>
      <w:bookmarkEnd w:id="8"/>
      <w:bookmarkEnd w:id="9"/>
      <w:bookmarkEnd w:id="10"/>
      <w:bookmarkEnd w:id="11"/>
      <w:bookmarkEnd w:id="12"/>
      <w:bookmarkEnd w:id="13"/>
      <w:bookmarkEnd w:id="14"/>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lastRenderedPageBreak/>
        <w:t>5</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Pr>
          <w:lang w:eastAsia="en-US"/>
        </w:rPr>
        <w:tab/>
      </w:r>
      <w:r w:rsidRPr="00E506A7">
        <w:rPr>
          <w:lang w:eastAsia="en-US"/>
        </w:rPr>
        <w:t xml:space="preserve">Schwarz, J. A.; Contescu, C. I.; Putyera, K. </w:t>
      </w:r>
      <w:r w:rsidRPr="00E506A7">
        <w:rPr>
          <w:i/>
          <w:lang w:eastAsia="en-US"/>
        </w:rPr>
        <w:t>Dekker Encyclopedia of Nanoscience and Nanotechnology</w:t>
      </w:r>
      <w:r w:rsidRPr="00E506A7">
        <w:rPr>
          <w:lang w:eastAsia="en-US"/>
        </w:rPr>
        <w:t>, Taylor &amp; Francis Group, 2004.</w:t>
      </w:r>
    </w:p>
    <w:p w:rsidR="00E506A7" w:rsidRPr="00E506A7" w:rsidRDefault="00E506A7" w:rsidP="00E506A7">
      <w:pPr>
        <w:pStyle w:val="MRefer"/>
        <w:rPr>
          <w:lang w:eastAsia="en-US"/>
        </w:rPr>
      </w:pPr>
      <w:r>
        <w:rPr>
          <w:lang w:eastAsia="en-US"/>
        </w:rPr>
        <w:t>8</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Pr>
          <w:lang w:eastAsia="en-US"/>
        </w:rPr>
        <w:tab/>
      </w:r>
      <w:r w:rsidRPr="00E506A7">
        <w:rPr>
          <w:lang w:eastAsia="en-US"/>
        </w:rPr>
        <w:t xml:space="preserve">Mazzoldi, D.D.; Baughman, R.H.; Electro-mechanical behavior of carbon Nnanotube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t>19</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lastRenderedPageBreak/>
        <w:t>21</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Pr>
          <w:lang w:eastAsia="en-US"/>
        </w:rPr>
        <w:tab/>
      </w:r>
      <w:r w:rsidRPr="00E506A7">
        <w:rPr>
          <w:lang w:eastAsia="en-US"/>
        </w:rPr>
        <w:t xml:space="preserve">Harris, P. 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w:t>
      </w:r>
      <w:smartTag w:uri="urn:schemas-microsoft-com:office:smarttags" w:element="place">
        <w:smartTag w:uri="urn:schemas-microsoft-com:office:smarttags" w:element="City">
          <w:r>
            <w:rPr>
              <w:lang w:eastAsia="en-US"/>
            </w:rPr>
            <w:t>Basel</w:t>
          </w:r>
        </w:smartTag>
        <w:r>
          <w:rPr>
            <w:lang w:eastAsia="en-US"/>
          </w:rPr>
          <w:t xml:space="preserve">, </w:t>
        </w:r>
        <w:smartTag w:uri="urn:schemas-microsoft-com:office:smarttags" w:element="country-region">
          <w:r>
            <w:rPr>
              <w:lang w:eastAsia="en-US"/>
            </w:rPr>
            <w:t>Switzerland</w:t>
          </w:r>
        </w:smartTag>
      </w:smartTag>
      <w:r>
        <w:rPr>
          <w:lang w:eastAsia="en-US"/>
        </w:rPr>
        <w:t>.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DE2" w:rsidRDefault="00746DE2">
      <w:pPr>
        <w:spacing w:line="240" w:lineRule="auto"/>
      </w:pPr>
      <w:r>
        <w:separator/>
      </w:r>
    </w:p>
  </w:endnote>
  <w:endnote w:type="continuationSeparator" w:id="0">
    <w:p w:rsidR="00746DE2" w:rsidRDefault="00746D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E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BA"/>
    <w:family w:val="roman"/>
    <w:pitch w:val="variable"/>
    <w:sig w:usb0="A00002EF" w:usb1="420020E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F337F6">
    <w:pPr>
      <w:framePr w:wrap="around" w:vAnchor="text" w:hAnchor="margin" w:xAlign="right" w:y="1"/>
    </w:pPr>
    <w:fldSimple w:instr="PAGE  ">
      <w:r w:rsidR="00E506A7">
        <w:rPr>
          <w:noProof/>
        </w:rPr>
        <w:t>10</w:t>
      </w:r>
    </w:fldSimple>
  </w:p>
  <w:p w:rsidR="00E506A7" w:rsidRDefault="00E506A7">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E506A7">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DE2" w:rsidRDefault="00746DE2">
      <w:pPr>
        <w:spacing w:line="240" w:lineRule="auto"/>
      </w:pPr>
      <w:r>
        <w:separator/>
      </w:r>
    </w:p>
  </w:footnote>
  <w:footnote w:type="continuationSeparator" w:id="0">
    <w:p w:rsidR="00746DE2" w:rsidRDefault="00746DE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6A7" w:rsidRDefault="00F337F6" w:rsidP="00E71A4A">
    <w:pPr>
      <w:framePr w:wrap="around" w:vAnchor="text" w:hAnchor="margin" w:xAlign="right" w:y="4"/>
      <w:jc w:val="right"/>
      <w:rPr>
        <w:b/>
      </w:rPr>
    </w:pPr>
    <w:r>
      <w:rPr>
        <w:b/>
      </w:rPr>
      <w:fldChar w:fldCharType="begin"/>
    </w:r>
    <w:r w:rsidR="00E506A7">
      <w:rPr>
        <w:b/>
      </w:rPr>
      <w:instrText xml:space="preserve">PAGE  </w:instrText>
    </w:r>
    <w:r>
      <w:rPr>
        <w:b/>
      </w:rPr>
      <w:fldChar w:fldCharType="separate"/>
    </w:r>
    <w:r w:rsidR="0061426C">
      <w:rPr>
        <w:b/>
        <w:noProof/>
      </w:rPr>
      <w:t>2</w:t>
    </w:r>
    <w:r>
      <w:rPr>
        <w:b/>
      </w:rPr>
      <w:fldChar w:fldCharType="end"/>
    </w:r>
  </w:p>
  <w:p w:rsidR="00E506A7" w:rsidRDefault="00E506A7">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E506A7" w:rsidRDefault="00E506A7">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8232E"/>
    <w:rsid w:val="0008243E"/>
    <w:rsid w:val="0008719B"/>
    <w:rsid w:val="0008719E"/>
    <w:rsid w:val="000A75C5"/>
    <w:rsid w:val="000B4196"/>
    <w:rsid w:val="000C773F"/>
    <w:rsid w:val="00105359"/>
    <w:rsid w:val="00105BC5"/>
    <w:rsid w:val="001A6ED4"/>
    <w:rsid w:val="001D57C2"/>
    <w:rsid w:val="00237036"/>
    <w:rsid w:val="00242011"/>
    <w:rsid w:val="002818E4"/>
    <w:rsid w:val="002829ED"/>
    <w:rsid w:val="002D1A2B"/>
    <w:rsid w:val="002F74E7"/>
    <w:rsid w:val="00336354"/>
    <w:rsid w:val="003902E8"/>
    <w:rsid w:val="00424E31"/>
    <w:rsid w:val="00457634"/>
    <w:rsid w:val="004C482A"/>
    <w:rsid w:val="004D5A98"/>
    <w:rsid w:val="004E7625"/>
    <w:rsid w:val="00551D60"/>
    <w:rsid w:val="00553F66"/>
    <w:rsid w:val="0056245D"/>
    <w:rsid w:val="005B0AB4"/>
    <w:rsid w:val="005F345A"/>
    <w:rsid w:val="0061426C"/>
    <w:rsid w:val="00637B64"/>
    <w:rsid w:val="00652532"/>
    <w:rsid w:val="006644EB"/>
    <w:rsid w:val="006E2CBE"/>
    <w:rsid w:val="006F028F"/>
    <w:rsid w:val="00731952"/>
    <w:rsid w:val="00746DE2"/>
    <w:rsid w:val="00754477"/>
    <w:rsid w:val="007579BB"/>
    <w:rsid w:val="007A1C80"/>
    <w:rsid w:val="007B4A60"/>
    <w:rsid w:val="00815F63"/>
    <w:rsid w:val="00853B7B"/>
    <w:rsid w:val="008658DD"/>
    <w:rsid w:val="008E5299"/>
    <w:rsid w:val="0091360C"/>
    <w:rsid w:val="00944D14"/>
    <w:rsid w:val="00947CE8"/>
    <w:rsid w:val="00962568"/>
    <w:rsid w:val="009D27A3"/>
    <w:rsid w:val="00A30BEC"/>
    <w:rsid w:val="00A426DA"/>
    <w:rsid w:val="00A57D12"/>
    <w:rsid w:val="00B13AE9"/>
    <w:rsid w:val="00B15B1B"/>
    <w:rsid w:val="00B2209A"/>
    <w:rsid w:val="00B278AD"/>
    <w:rsid w:val="00B27D97"/>
    <w:rsid w:val="00B615DC"/>
    <w:rsid w:val="00BA7639"/>
    <w:rsid w:val="00BB1BBC"/>
    <w:rsid w:val="00BE5264"/>
    <w:rsid w:val="00C11A2F"/>
    <w:rsid w:val="00C170F3"/>
    <w:rsid w:val="00C4655D"/>
    <w:rsid w:val="00C72727"/>
    <w:rsid w:val="00C87ABB"/>
    <w:rsid w:val="00CA2850"/>
    <w:rsid w:val="00CA58DB"/>
    <w:rsid w:val="00CB2827"/>
    <w:rsid w:val="00D0317B"/>
    <w:rsid w:val="00D04511"/>
    <w:rsid w:val="00D66376"/>
    <w:rsid w:val="00D66550"/>
    <w:rsid w:val="00DD023B"/>
    <w:rsid w:val="00DD4C9D"/>
    <w:rsid w:val="00DD4FD6"/>
    <w:rsid w:val="00DD509C"/>
    <w:rsid w:val="00DE7FFE"/>
    <w:rsid w:val="00E01D46"/>
    <w:rsid w:val="00E340E8"/>
    <w:rsid w:val="00E506A7"/>
    <w:rsid w:val="00E56696"/>
    <w:rsid w:val="00E71A4A"/>
    <w:rsid w:val="00EE2102"/>
    <w:rsid w:val="00F116B0"/>
    <w:rsid w:val="00F337F6"/>
    <w:rsid w:val="00F42523"/>
    <w:rsid w:val="00F81046"/>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B2514-3019-45A5-9336-979261357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17</Pages>
  <Words>5909</Words>
  <Characters>34277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40106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Janno</cp:lastModifiedBy>
  <cp:revision>11</cp:revision>
  <cp:lastPrinted>2001-01-27T19:53:00Z</cp:lastPrinted>
  <dcterms:created xsi:type="dcterms:W3CDTF">2009-10-10T12:55:00Z</dcterms:created>
  <dcterms:modified xsi:type="dcterms:W3CDTF">2009-10-11T18:19:00Z</dcterms:modified>
</cp:coreProperties>
</file>