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EF366E" w:rsidP="00F20EC9">
      <w:pPr>
        <w:jc w:val="center"/>
        <w:rPr>
          <w:rFonts w:cs="Times New Roman"/>
          <w:b/>
          <w:sz w:val="36"/>
          <w:szCs w:val="24"/>
        </w:rPr>
      </w:pPr>
      <w:r>
        <w:rPr>
          <w:rFonts w:cs="Times New Roman"/>
          <w:b/>
          <w:sz w:val="36"/>
          <w:szCs w:val="24"/>
        </w:rPr>
        <w:t>Liitiumioon-polümeer</w:t>
      </w:r>
      <w:r w:rsidR="00F7242C">
        <w:rPr>
          <w:rFonts w:cs="Times New Roman"/>
          <w:b/>
          <w:sz w:val="36"/>
          <w:szCs w:val="24"/>
        </w:rPr>
        <w:t>aku tahke elektrolüüdi p</w:t>
      </w:r>
      <w:r w:rsidR="00016AE7">
        <w:rPr>
          <w:rFonts w:cs="Times New Roman"/>
          <w:b/>
          <w:sz w:val="36"/>
          <w:szCs w:val="24"/>
        </w:rPr>
        <w:t>olüetüleen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ko</w:t>
      </w:r>
      <w:r w:rsidR="00F20EC9">
        <w:rPr>
          <w:rFonts w:cs="Times New Roman"/>
          <w:b/>
          <w:sz w:val="36"/>
          <w:szCs w:val="24"/>
        </w:rPr>
        <w:t>polümeeri</w:t>
      </w:r>
      <w:r>
        <w:rPr>
          <w:rFonts w:cs="Times New Roman"/>
          <w:b/>
          <w:sz w:val="36"/>
          <w:szCs w:val="24"/>
        </w:rPr>
        <w:t xml:space="preserve"> </w:t>
      </w:r>
      <w:r w:rsidR="00F20EC9">
        <w:rPr>
          <w:rFonts w:cs="Times New Roman"/>
          <w:b/>
          <w:sz w:val="36"/>
          <w:szCs w:val="24"/>
        </w:rPr>
        <w:t>ja LiPF</w:t>
      </w:r>
      <w:r w:rsidR="00F20EC9">
        <w:rPr>
          <w:rFonts w:cs="Times New Roman"/>
          <w:b/>
          <w:sz w:val="36"/>
          <w:szCs w:val="24"/>
          <w:vertAlign w:val="subscript"/>
        </w:rPr>
        <w:t>6</w:t>
      </w:r>
      <w:r w:rsidR="00F20EC9">
        <w:rPr>
          <w:rFonts w:cs="Times New Roman"/>
          <w:b/>
          <w:sz w:val="36"/>
          <w:szCs w:val="24"/>
        </w:rPr>
        <w:t xml:space="preserve"> molekulaardünaamiline</w:t>
      </w:r>
      <w:r>
        <w:rPr>
          <w:rFonts w:cs="Times New Roman"/>
          <w:b/>
          <w:sz w:val="36"/>
          <w:szCs w:val="24"/>
        </w:rPr>
        <w:t xml:space="preserve"> </w:t>
      </w:r>
      <w:r w:rsidR="00F20EC9">
        <w:rPr>
          <w:rFonts w:cs="Times New Roman"/>
          <w:b/>
          <w:sz w:val="36"/>
          <w:szCs w:val="24"/>
        </w:rPr>
        <w:t>modelleerimine</w:t>
      </w:r>
    </w:p>
    <w:p w:rsidR="00F20EC9" w:rsidRDefault="00F7242C" w:rsidP="00F20EC9">
      <w:pPr>
        <w:jc w:val="center"/>
        <w:rPr>
          <w:rFonts w:cs="Times New Roman"/>
          <w:sz w:val="28"/>
          <w:szCs w:val="24"/>
        </w:rPr>
      </w:pPr>
      <w:r>
        <w:rPr>
          <w:rFonts w:cs="Times New Roman"/>
          <w:sz w:val="28"/>
          <w:szCs w:val="24"/>
        </w:rPr>
        <w:t>Magistri</w:t>
      </w:r>
      <w:r w:rsidR="00F20EC9" w:rsidRPr="00424194">
        <w:rPr>
          <w:rFonts w:cs="Times New Roman"/>
          <w:sz w:val="28"/>
          <w:szCs w:val="24"/>
        </w:rPr>
        <w:t>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973BBC">
        <w:rPr>
          <w:rFonts w:cs="Times New Roman"/>
          <w:sz w:val="28"/>
          <w:szCs w:val="24"/>
        </w:rPr>
        <w:t xml:space="preserve"> </w:t>
      </w:r>
      <w:r w:rsidR="008A75AB">
        <w:rPr>
          <w:rFonts w:cs="Times New Roman"/>
          <w:sz w:val="28"/>
          <w:szCs w:val="24"/>
        </w:rPr>
        <w:t>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7242C" w:rsidP="00E169AE">
      <w:pPr>
        <w:jc w:val="center"/>
        <w:rPr>
          <w:rFonts w:cs="Times New Roman"/>
          <w:sz w:val="28"/>
          <w:szCs w:val="24"/>
        </w:rPr>
      </w:pPr>
      <w:r>
        <w:rPr>
          <w:rFonts w:cs="Times New Roman"/>
          <w:sz w:val="28"/>
          <w:szCs w:val="24"/>
        </w:rPr>
        <w:t>Tartu 2012</w:t>
      </w:r>
    </w:p>
    <w:sdt>
      <w:sdtPr>
        <w:rPr>
          <w:rFonts w:eastAsiaTheme="minorHAnsi" w:cstheme="minorBidi"/>
          <w:bCs w:val="0"/>
          <w:sz w:val="24"/>
        </w:rPr>
        <w:id w:val="184281564"/>
        <w:docPartObj>
          <w:docPartGallery w:val="Table of Contents"/>
          <w:docPartUnique/>
        </w:docPartObj>
      </w:sdtPr>
      <w:sdtContent>
        <w:bookmarkStart w:id="0" w:name="_Toc325224163" w:displacedByCustomXml="prev"/>
        <w:p w:rsidR="00755A72" w:rsidRDefault="0013048B" w:rsidP="00214CD7">
          <w:pPr>
            <w:pStyle w:val="Heading3"/>
          </w:pPr>
          <w:r w:rsidRPr="00214CD7">
            <w:rPr>
              <w:rStyle w:val="Heading1Char"/>
              <w:color w:val="auto"/>
              <w:sz w:val="28"/>
            </w:rPr>
            <w:t>SISUKORD</w:t>
          </w:r>
          <w:bookmarkEnd w:id="0"/>
        </w:p>
        <w:p w:rsidR="004149B0" w:rsidRDefault="00B23348">
          <w:pPr>
            <w:pStyle w:val="TOC3"/>
            <w:tabs>
              <w:tab w:val="right" w:leader="dot" w:pos="9062"/>
            </w:tabs>
            <w:rPr>
              <w:rFonts w:asciiTheme="minorHAnsi" w:hAnsiTheme="minorHAnsi"/>
              <w:noProof/>
              <w:sz w:val="22"/>
              <w:lang w:eastAsia="et-EE"/>
            </w:rPr>
          </w:pPr>
          <w:r w:rsidRPr="00B23348">
            <w:fldChar w:fldCharType="begin"/>
          </w:r>
          <w:r w:rsidR="00755A72">
            <w:instrText xml:space="preserve"> TOC \o "1-3" \h \z \u </w:instrText>
          </w:r>
          <w:r w:rsidRPr="00B23348">
            <w:fldChar w:fldCharType="separate"/>
          </w:r>
          <w:hyperlink w:anchor="_Toc325224163" w:history="1">
            <w:r w:rsidR="004149B0" w:rsidRPr="00780DCE">
              <w:rPr>
                <w:rStyle w:val="Hyperlink"/>
                <w:noProof/>
              </w:rPr>
              <w:t>SISUKORD</w:t>
            </w:r>
            <w:r w:rsidR="004149B0">
              <w:rPr>
                <w:noProof/>
                <w:webHidden/>
              </w:rPr>
              <w:tab/>
            </w:r>
            <w:r w:rsidR="004149B0">
              <w:rPr>
                <w:noProof/>
                <w:webHidden/>
              </w:rPr>
              <w:fldChar w:fldCharType="begin"/>
            </w:r>
            <w:r w:rsidR="004149B0">
              <w:rPr>
                <w:noProof/>
                <w:webHidden/>
              </w:rPr>
              <w:instrText xml:space="preserve"> PAGEREF _Toc325224163 \h </w:instrText>
            </w:r>
            <w:r w:rsidR="004149B0">
              <w:rPr>
                <w:noProof/>
                <w:webHidden/>
              </w:rPr>
            </w:r>
            <w:r w:rsidR="004149B0">
              <w:rPr>
                <w:noProof/>
                <w:webHidden/>
              </w:rPr>
              <w:fldChar w:fldCharType="separate"/>
            </w:r>
            <w:r w:rsidR="004149B0">
              <w:rPr>
                <w:noProof/>
                <w:webHidden/>
              </w:rPr>
              <w:t>2</w:t>
            </w:r>
            <w:r w:rsidR="004149B0">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64" w:history="1">
            <w:r w:rsidRPr="00780DCE">
              <w:rPr>
                <w:rStyle w:val="Hyperlink"/>
                <w:noProof/>
              </w:rPr>
              <w:t>1.   SISSEJUHATUS</w:t>
            </w:r>
            <w:r>
              <w:rPr>
                <w:noProof/>
                <w:webHidden/>
              </w:rPr>
              <w:tab/>
            </w:r>
            <w:r>
              <w:rPr>
                <w:noProof/>
                <w:webHidden/>
              </w:rPr>
              <w:fldChar w:fldCharType="begin"/>
            </w:r>
            <w:r>
              <w:rPr>
                <w:noProof/>
                <w:webHidden/>
              </w:rPr>
              <w:instrText xml:space="preserve"> PAGEREF _Toc325224164 \h </w:instrText>
            </w:r>
            <w:r>
              <w:rPr>
                <w:noProof/>
                <w:webHidden/>
              </w:rPr>
            </w:r>
            <w:r>
              <w:rPr>
                <w:noProof/>
                <w:webHidden/>
              </w:rPr>
              <w:fldChar w:fldCharType="separate"/>
            </w:r>
            <w:r>
              <w:rPr>
                <w:noProof/>
                <w:webHidden/>
              </w:rPr>
              <w:t>4</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65" w:history="1">
            <w:r w:rsidRPr="00780DCE">
              <w:rPr>
                <w:rStyle w:val="Hyperlink"/>
                <w:noProof/>
              </w:rPr>
              <w:t>1.1   Taaslaetavad akud</w:t>
            </w:r>
            <w:r>
              <w:rPr>
                <w:noProof/>
                <w:webHidden/>
              </w:rPr>
              <w:tab/>
            </w:r>
            <w:r>
              <w:rPr>
                <w:noProof/>
                <w:webHidden/>
              </w:rPr>
              <w:fldChar w:fldCharType="begin"/>
            </w:r>
            <w:r>
              <w:rPr>
                <w:noProof/>
                <w:webHidden/>
              </w:rPr>
              <w:instrText xml:space="preserve"> PAGEREF _Toc325224165 \h </w:instrText>
            </w:r>
            <w:r>
              <w:rPr>
                <w:noProof/>
                <w:webHidden/>
              </w:rPr>
            </w:r>
            <w:r>
              <w:rPr>
                <w:noProof/>
                <w:webHidden/>
              </w:rPr>
              <w:fldChar w:fldCharType="separate"/>
            </w:r>
            <w:r>
              <w:rPr>
                <w:noProof/>
                <w:webHidden/>
              </w:rPr>
              <w:t>4</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66" w:history="1">
            <w:r w:rsidRPr="00780DCE">
              <w:rPr>
                <w:rStyle w:val="Hyperlink"/>
                <w:noProof/>
              </w:rPr>
              <w:t>1.3.  Töö eesmärgid ja hüpoteesid</w:t>
            </w:r>
            <w:r>
              <w:rPr>
                <w:noProof/>
                <w:webHidden/>
              </w:rPr>
              <w:tab/>
            </w:r>
            <w:r>
              <w:rPr>
                <w:noProof/>
                <w:webHidden/>
              </w:rPr>
              <w:fldChar w:fldCharType="begin"/>
            </w:r>
            <w:r>
              <w:rPr>
                <w:noProof/>
                <w:webHidden/>
              </w:rPr>
              <w:instrText xml:space="preserve"> PAGEREF _Toc325224166 \h </w:instrText>
            </w:r>
            <w:r>
              <w:rPr>
                <w:noProof/>
                <w:webHidden/>
              </w:rPr>
            </w:r>
            <w:r>
              <w:rPr>
                <w:noProof/>
                <w:webHidden/>
              </w:rPr>
              <w:fldChar w:fldCharType="separate"/>
            </w:r>
            <w:r>
              <w:rPr>
                <w:noProof/>
                <w:webHidden/>
              </w:rPr>
              <w:t>7</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67" w:history="1">
            <w:r w:rsidRPr="00780DCE">
              <w:rPr>
                <w:rStyle w:val="Hyperlink"/>
                <w:noProof/>
                <w:lang w:val="sq-AL"/>
              </w:rPr>
              <w:t>2.   ÜLEVAADE</w:t>
            </w:r>
            <w:r>
              <w:rPr>
                <w:noProof/>
                <w:webHidden/>
              </w:rPr>
              <w:tab/>
            </w:r>
            <w:r>
              <w:rPr>
                <w:noProof/>
                <w:webHidden/>
              </w:rPr>
              <w:fldChar w:fldCharType="begin"/>
            </w:r>
            <w:r>
              <w:rPr>
                <w:noProof/>
                <w:webHidden/>
              </w:rPr>
              <w:instrText xml:space="preserve"> PAGEREF _Toc325224167 \h </w:instrText>
            </w:r>
            <w:r>
              <w:rPr>
                <w:noProof/>
                <w:webHidden/>
              </w:rPr>
            </w:r>
            <w:r>
              <w:rPr>
                <w:noProof/>
                <w:webHidden/>
              </w:rPr>
              <w:fldChar w:fldCharType="separate"/>
            </w:r>
            <w:r>
              <w:rPr>
                <w:noProof/>
                <w:webHidden/>
              </w:rPr>
              <w:t>8</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68" w:history="1">
            <w:r w:rsidRPr="00780DCE">
              <w:rPr>
                <w:rStyle w:val="Hyperlink"/>
                <w:noProof/>
                <w:lang w:val="sq-AL"/>
              </w:rPr>
              <w:t>2.1.  Polümeersed elektrolüüdid</w:t>
            </w:r>
            <w:r>
              <w:rPr>
                <w:noProof/>
                <w:webHidden/>
              </w:rPr>
              <w:tab/>
            </w:r>
            <w:r>
              <w:rPr>
                <w:noProof/>
                <w:webHidden/>
              </w:rPr>
              <w:fldChar w:fldCharType="begin"/>
            </w:r>
            <w:r>
              <w:rPr>
                <w:noProof/>
                <w:webHidden/>
              </w:rPr>
              <w:instrText xml:space="preserve"> PAGEREF _Toc325224168 \h </w:instrText>
            </w:r>
            <w:r>
              <w:rPr>
                <w:noProof/>
                <w:webHidden/>
              </w:rPr>
            </w:r>
            <w:r>
              <w:rPr>
                <w:noProof/>
                <w:webHidden/>
              </w:rPr>
              <w:fldChar w:fldCharType="separate"/>
            </w:r>
            <w:r>
              <w:rPr>
                <w:noProof/>
                <w:webHidden/>
              </w:rPr>
              <w:t>8</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69" w:history="1">
            <w:r w:rsidRPr="00780DCE">
              <w:rPr>
                <w:rStyle w:val="Hyperlink"/>
                <w:noProof/>
              </w:rPr>
              <w:t>2.1.1.  Kuivad polümeersed elektrolüüdid</w:t>
            </w:r>
            <w:r>
              <w:rPr>
                <w:noProof/>
                <w:webHidden/>
              </w:rPr>
              <w:tab/>
            </w:r>
            <w:r>
              <w:rPr>
                <w:noProof/>
                <w:webHidden/>
              </w:rPr>
              <w:fldChar w:fldCharType="begin"/>
            </w:r>
            <w:r>
              <w:rPr>
                <w:noProof/>
                <w:webHidden/>
              </w:rPr>
              <w:instrText xml:space="preserve"> PAGEREF _Toc325224169 \h </w:instrText>
            </w:r>
            <w:r>
              <w:rPr>
                <w:noProof/>
                <w:webHidden/>
              </w:rPr>
            </w:r>
            <w:r>
              <w:rPr>
                <w:noProof/>
                <w:webHidden/>
              </w:rPr>
              <w:fldChar w:fldCharType="separate"/>
            </w:r>
            <w:r>
              <w:rPr>
                <w:noProof/>
                <w:webHidden/>
              </w:rPr>
              <w:t>9</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70" w:history="1">
            <w:r w:rsidRPr="00780DCE">
              <w:rPr>
                <w:rStyle w:val="Hyperlink"/>
                <w:noProof/>
              </w:rPr>
              <w:t>2.1.2.  Geelpolümeer elektrolüüdid</w:t>
            </w:r>
            <w:r>
              <w:rPr>
                <w:noProof/>
                <w:webHidden/>
              </w:rPr>
              <w:tab/>
            </w:r>
            <w:r>
              <w:rPr>
                <w:noProof/>
                <w:webHidden/>
              </w:rPr>
              <w:fldChar w:fldCharType="begin"/>
            </w:r>
            <w:r>
              <w:rPr>
                <w:noProof/>
                <w:webHidden/>
              </w:rPr>
              <w:instrText xml:space="preserve"> PAGEREF _Toc325224170 \h </w:instrText>
            </w:r>
            <w:r>
              <w:rPr>
                <w:noProof/>
                <w:webHidden/>
              </w:rPr>
            </w:r>
            <w:r>
              <w:rPr>
                <w:noProof/>
                <w:webHidden/>
              </w:rPr>
              <w:fldChar w:fldCharType="separate"/>
            </w:r>
            <w:r>
              <w:rPr>
                <w:noProof/>
                <w:webHidden/>
              </w:rPr>
              <w:t>9</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71" w:history="1">
            <w:r w:rsidRPr="00780DCE">
              <w:rPr>
                <w:rStyle w:val="Hyperlink"/>
                <w:noProof/>
              </w:rPr>
              <w:t>2.1.3.  Komposiitelektrolüüdid</w:t>
            </w:r>
            <w:r>
              <w:rPr>
                <w:noProof/>
                <w:webHidden/>
              </w:rPr>
              <w:tab/>
            </w:r>
            <w:r>
              <w:rPr>
                <w:noProof/>
                <w:webHidden/>
              </w:rPr>
              <w:fldChar w:fldCharType="begin"/>
            </w:r>
            <w:r>
              <w:rPr>
                <w:noProof/>
                <w:webHidden/>
              </w:rPr>
              <w:instrText xml:space="preserve"> PAGEREF _Toc325224171 \h </w:instrText>
            </w:r>
            <w:r>
              <w:rPr>
                <w:noProof/>
                <w:webHidden/>
              </w:rPr>
            </w:r>
            <w:r>
              <w:rPr>
                <w:noProof/>
                <w:webHidden/>
              </w:rPr>
              <w:fldChar w:fldCharType="separate"/>
            </w:r>
            <w:r>
              <w:rPr>
                <w:noProof/>
                <w:webHidden/>
              </w:rPr>
              <w:t>10</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72" w:history="1">
            <w:r w:rsidRPr="00780DCE">
              <w:rPr>
                <w:rStyle w:val="Hyperlink"/>
                <w:noProof/>
              </w:rPr>
              <w:t>2.2.  Polüetüleenoksiid (PEO)</w:t>
            </w:r>
            <w:r>
              <w:rPr>
                <w:noProof/>
                <w:webHidden/>
              </w:rPr>
              <w:tab/>
            </w:r>
            <w:r>
              <w:rPr>
                <w:noProof/>
                <w:webHidden/>
              </w:rPr>
              <w:fldChar w:fldCharType="begin"/>
            </w:r>
            <w:r>
              <w:rPr>
                <w:noProof/>
                <w:webHidden/>
              </w:rPr>
              <w:instrText xml:space="preserve"> PAGEREF _Toc325224172 \h </w:instrText>
            </w:r>
            <w:r>
              <w:rPr>
                <w:noProof/>
                <w:webHidden/>
              </w:rPr>
            </w:r>
            <w:r>
              <w:rPr>
                <w:noProof/>
                <w:webHidden/>
              </w:rPr>
              <w:fldChar w:fldCharType="separate"/>
            </w:r>
            <w:r>
              <w:rPr>
                <w:noProof/>
                <w:webHidden/>
              </w:rPr>
              <w:t>10</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73" w:history="1">
            <w:r w:rsidRPr="00780DCE">
              <w:rPr>
                <w:rStyle w:val="Hyperlink"/>
                <w:noProof/>
              </w:rPr>
              <w:t>2.3.  Polüetüleen (PE)</w:t>
            </w:r>
            <w:r>
              <w:rPr>
                <w:noProof/>
                <w:webHidden/>
              </w:rPr>
              <w:tab/>
            </w:r>
            <w:r>
              <w:rPr>
                <w:noProof/>
                <w:webHidden/>
              </w:rPr>
              <w:fldChar w:fldCharType="begin"/>
            </w:r>
            <w:r>
              <w:rPr>
                <w:noProof/>
                <w:webHidden/>
              </w:rPr>
              <w:instrText xml:space="preserve"> PAGEREF _Toc325224173 \h </w:instrText>
            </w:r>
            <w:r>
              <w:rPr>
                <w:noProof/>
                <w:webHidden/>
              </w:rPr>
            </w:r>
            <w:r>
              <w:rPr>
                <w:noProof/>
                <w:webHidden/>
              </w:rPr>
              <w:fldChar w:fldCharType="separate"/>
            </w:r>
            <w:r>
              <w:rPr>
                <w:noProof/>
                <w:webHidden/>
              </w:rPr>
              <w:t>12</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74" w:history="1">
            <w:r w:rsidRPr="00780DCE">
              <w:rPr>
                <w:rStyle w:val="Hyperlink"/>
                <w:noProof/>
              </w:rPr>
              <w:t>3.   METOODIKA</w:t>
            </w:r>
            <w:r>
              <w:rPr>
                <w:noProof/>
                <w:webHidden/>
              </w:rPr>
              <w:tab/>
            </w:r>
            <w:r>
              <w:rPr>
                <w:noProof/>
                <w:webHidden/>
              </w:rPr>
              <w:fldChar w:fldCharType="begin"/>
            </w:r>
            <w:r>
              <w:rPr>
                <w:noProof/>
                <w:webHidden/>
              </w:rPr>
              <w:instrText xml:space="preserve"> PAGEREF _Toc325224174 \h </w:instrText>
            </w:r>
            <w:r>
              <w:rPr>
                <w:noProof/>
                <w:webHidden/>
              </w:rPr>
            </w:r>
            <w:r>
              <w:rPr>
                <w:noProof/>
                <w:webHidden/>
              </w:rPr>
              <w:fldChar w:fldCharType="separate"/>
            </w:r>
            <w:r>
              <w:rPr>
                <w:noProof/>
                <w:webHidden/>
              </w:rPr>
              <w:t>13</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75" w:history="1">
            <w:r w:rsidRPr="00780DCE">
              <w:rPr>
                <w:rStyle w:val="Hyperlink"/>
                <w:noProof/>
              </w:rPr>
              <w:t>3.1.  Molekulaardünaamika</w:t>
            </w:r>
            <w:r>
              <w:rPr>
                <w:noProof/>
                <w:webHidden/>
              </w:rPr>
              <w:tab/>
            </w:r>
            <w:r>
              <w:rPr>
                <w:noProof/>
                <w:webHidden/>
              </w:rPr>
              <w:fldChar w:fldCharType="begin"/>
            </w:r>
            <w:r>
              <w:rPr>
                <w:noProof/>
                <w:webHidden/>
              </w:rPr>
              <w:instrText xml:space="preserve"> PAGEREF _Toc325224175 \h </w:instrText>
            </w:r>
            <w:r>
              <w:rPr>
                <w:noProof/>
                <w:webHidden/>
              </w:rPr>
            </w:r>
            <w:r>
              <w:rPr>
                <w:noProof/>
                <w:webHidden/>
              </w:rPr>
              <w:fldChar w:fldCharType="separate"/>
            </w:r>
            <w:r>
              <w:rPr>
                <w:noProof/>
                <w:webHidden/>
              </w:rPr>
              <w:t>13</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76" w:history="1">
            <w:r w:rsidRPr="00780DCE">
              <w:rPr>
                <w:rStyle w:val="Hyperlink"/>
                <w:noProof/>
              </w:rPr>
              <w:t>3.2.  Simulatsioonitulemuste analüüsimetoodika</w:t>
            </w:r>
            <w:r>
              <w:rPr>
                <w:noProof/>
                <w:webHidden/>
              </w:rPr>
              <w:tab/>
            </w:r>
            <w:r>
              <w:rPr>
                <w:noProof/>
                <w:webHidden/>
              </w:rPr>
              <w:fldChar w:fldCharType="begin"/>
            </w:r>
            <w:r>
              <w:rPr>
                <w:noProof/>
                <w:webHidden/>
              </w:rPr>
              <w:instrText xml:space="preserve"> PAGEREF _Toc325224176 \h </w:instrText>
            </w:r>
            <w:r>
              <w:rPr>
                <w:noProof/>
                <w:webHidden/>
              </w:rPr>
            </w:r>
            <w:r>
              <w:rPr>
                <w:noProof/>
                <w:webHidden/>
              </w:rPr>
              <w:fldChar w:fldCharType="separate"/>
            </w:r>
            <w:r>
              <w:rPr>
                <w:noProof/>
                <w:webHidden/>
              </w:rPr>
              <w:t>14</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77" w:history="1">
            <w:r w:rsidRPr="00780DCE">
              <w:rPr>
                <w:rStyle w:val="Hyperlink"/>
                <w:noProof/>
              </w:rPr>
              <w:t>3.2.1.  Radiaaljaotusfunktsioon ja koordinatsiooniarv</w:t>
            </w:r>
            <w:r>
              <w:rPr>
                <w:noProof/>
                <w:webHidden/>
              </w:rPr>
              <w:tab/>
            </w:r>
            <w:r>
              <w:rPr>
                <w:noProof/>
                <w:webHidden/>
              </w:rPr>
              <w:fldChar w:fldCharType="begin"/>
            </w:r>
            <w:r>
              <w:rPr>
                <w:noProof/>
                <w:webHidden/>
              </w:rPr>
              <w:instrText xml:space="preserve"> PAGEREF _Toc325224177 \h </w:instrText>
            </w:r>
            <w:r>
              <w:rPr>
                <w:noProof/>
                <w:webHidden/>
              </w:rPr>
            </w:r>
            <w:r>
              <w:rPr>
                <w:noProof/>
                <w:webHidden/>
              </w:rPr>
              <w:fldChar w:fldCharType="separate"/>
            </w:r>
            <w:r>
              <w:rPr>
                <w:noProof/>
                <w:webHidden/>
              </w:rPr>
              <w:t>14</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78" w:history="1">
            <w:r w:rsidRPr="00780DCE">
              <w:rPr>
                <w:rStyle w:val="Hyperlink"/>
                <w:noProof/>
              </w:rPr>
              <w:t>3.2.2.  Ruutkeskmine hälve</w:t>
            </w:r>
            <w:r>
              <w:rPr>
                <w:noProof/>
                <w:webHidden/>
              </w:rPr>
              <w:tab/>
            </w:r>
            <w:r>
              <w:rPr>
                <w:noProof/>
                <w:webHidden/>
              </w:rPr>
              <w:fldChar w:fldCharType="begin"/>
            </w:r>
            <w:r>
              <w:rPr>
                <w:noProof/>
                <w:webHidden/>
              </w:rPr>
              <w:instrText xml:space="preserve"> PAGEREF _Toc325224178 \h </w:instrText>
            </w:r>
            <w:r>
              <w:rPr>
                <w:noProof/>
                <w:webHidden/>
              </w:rPr>
            </w:r>
            <w:r>
              <w:rPr>
                <w:noProof/>
                <w:webHidden/>
              </w:rPr>
              <w:fldChar w:fldCharType="separate"/>
            </w:r>
            <w:r>
              <w:rPr>
                <w:noProof/>
                <w:webHidden/>
              </w:rPr>
              <w:t>15</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79" w:history="1">
            <w:r w:rsidRPr="00780DCE">
              <w:rPr>
                <w:rStyle w:val="Hyperlink"/>
                <w:noProof/>
              </w:rPr>
              <w:t>3.3.  Uuritav süsteem ja selle mudel</w:t>
            </w:r>
            <w:r>
              <w:rPr>
                <w:noProof/>
                <w:webHidden/>
              </w:rPr>
              <w:tab/>
            </w:r>
            <w:r>
              <w:rPr>
                <w:noProof/>
                <w:webHidden/>
              </w:rPr>
              <w:fldChar w:fldCharType="begin"/>
            </w:r>
            <w:r>
              <w:rPr>
                <w:noProof/>
                <w:webHidden/>
              </w:rPr>
              <w:instrText xml:space="preserve"> PAGEREF _Toc325224179 \h </w:instrText>
            </w:r>
            <w:r>
              <w:rPr>
                <w:noProof/>
                <w:webHidden/>
              </w:rPr>
            </w:r>
            <w:r>
              <w:rPr>
                <w:noProof/>
                <w:webHidden/>
              </w:rPr>
              <w:fldChar w:fldCharType="separate"/>
            </w:r>
            <w:r>
              <w:rPr>
                <w:noProof/>
                <w:webHidden/>
              </w:rPr>
              <w:t>15</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80" w:history="1">
            <w:r w:rsidRPr="00780DCE">
              <w:rPr>
                <w:rStyle w:val="Hyperlink"/>
                <w:noProof/>
              </w:rPr>
              <w:t>3.4.   Simulatsioonidetailid</w:t>
            </w:r>
            <w:r>
              <w:rPr>
                <w:noProof/>
                <w:webHidden/>
              </w:rPr>
              <w:tab/>
            </w:r>
            <w:r>
              <w:rPr>
                <w:noProof/>
                <w:webHidden/>
              </w:rPr>
              <w:fldChar w:fldCharType="begin"/>
            </w:r>
            <w:r>
              <w:rPr>
                <w:noProof/>
                <w:webHidden/>
              </w:rPr>
              <w:instrText xml:space="preserve"> PAGEREF _Toc325224180 \h </w:instrText>
            </w:r>
            <w:r>
              <w:rPr>
                <w:noProof/>
                <w:webHidden/>
              </w:rPr>
            </w:r>
            <w:r>
              <w:rPr>
                <w:noProof/>
                <w:webHidden/>
              </w:rPr>
              <w:fldChar w:fldCharType="separate"/>
            </w:r>
            <w:r>
              <w:rPr>
                <w:noProof/>
                <w:webHidden/>
              </w:rPr>
              <w:t>18</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81" w:history="1">
            <w:r w:rsidRPr="00780DCE">
              <w:rPr>
                <w:rStyle w:val="Hyperlink"/>
                <w:noProof/>
              </w:rPr>
              <w:t>3.4.1.  Programmid ja simulatsioonitingimused</w:t>
            </w:r>
            <w:r>
              <w:rPr>
                <w:noProof/>
                <w:webHidden/>
              </w:rPr>
              <w:tab/>
            </w:r>
            <w:r>
              <w:rPr>
                <w:noProof/>
                <w:webHidden/>
              </w:rPr>
              <w:fldChar w:fldCharType="begin"/>
            </w:r>
            <w:r>
              <w:rPr>
                <w:noProof/>
                <w:webHidden/>
              </w:rPr>
              <w:instrText xml:space="preserve"> PAGEREF _Toc325224181 \h </w:instrText>
            </w:r>
            <w:r>
              <w:rPr>
                <w:noProof/>
                <w:webHidden/>
              </w:rPr>
            </w:r>
            <w:r>
              <w:rPr>
                <w:noProof/>
                <w:webHidden/>
              </w:rPr>
              <w:fldChar w:fldCharType="separate"/>
            </w:r>
            <w:r>
              <w:rPr>
                <w:noProof/>
                <w:webHidden/>
              </w:rPr>
              <w:t>18</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82" w:history="1">
            <w:r w:rsidRPr="00780DCE">
              <w:rPr>
                <w:rStyle w:val="Hyperlink"/>
                <w:rFonts w:cs="Times New Roman"/>
                <w:noProof/>
              </w:rPr>
              <w:t>3</w:t>
            </w:r>
            <w:r w:rsidRPr="00780DCE">
              <w:rPr>
                <w:rStyle w:val="Hyperlink"/>
                <w:noProof/>
              </w:rPr>
              <w:t>.5.  Jõuväli</w:t>
            </w:r>
            <w:r>
              <w:rPr>
                <w:noProof/>
                <w:webHidden/>
              </w:rPr>
              <w:tab/>
            </w:r>
            <w:r>
              <w:rPr>
                <w:noProof/>
                <w:webHidden/>
              </w:rPr>
              <w:fldChar w:fldCharType="begin"/>
            </w:r>
            <w:r>
              <w:rPr>
                <w:noProof/>
                <w:webHidden/>
              </w:rPr>
              <w:instrText xml:space="preserve"> PAGEREF _Toc325224182 \h </w:instrText>
            </w:r>
            <w:r>
              <w:rPr>
                <w:noProof/>
                <w:webHidden/>
              </w:rPr>
            </w:r>
            <w:r>
              <w:rPr>
                <w:noProof/>
                <w:webHidden/>
              </w:rPr>
              <w:fldChar w:fldCharType="separate"/>
            </w:r>
            <w:r>
              <w:rPr>
                <w:noProof/>
                <w:webHidden/>
              </w:rPr>
              <w:t>20</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83" w:history="1">
            <w:r w:rsidRPr="00780DCE">
              <w:rPr>
                <w:rStyle w:val="Hyperlink"/>
                <w:noProof/>
              </w:rPr>
              <w:t>3.5.1.  Aatomite osalaengud</w:t>
            </w:r>
            <w:r>
              <w:rPr>
                <w:noProof/>
                <w:webHidden/>
              </w:rPr>
              <w:tab/>
            </w:r>
            <w:r>
              <w:rPr>
                <w:noProof/>
                <w:webHidden/>
              </w:rPr>
              <w:fldChar w:fldCharType="begin"/>
            </w:r>
            <w:r>
              <w:rPr>
                <w:noProof/>
                <w:webHidden/>
              </w:rPr>
              <w:instrText xml:space="preserve"> PAGEREF _Toc325224183 \h </w:instrText>
            </w:r>
            <w:r>
              <w:rPr>
                <w:noProof/>
                <w:webHidden/>
              </w:rPr>
            </w:r>
            <w:r>
              <w:rPr>
                <w:noProof/>
                <w:webHidden/>
              </w:rPr>
              <w:fldChar w:fldCharType="separate"/>
            </w:r>
            <w:r>
              <w:rPr>
                <w:noProof/>
                <w:webHidden/>
              </w:rPr>
              <w:t>20</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84" w:history="1">
            <w:r w:rsidRPr="00780DCE">
              <w:rPr>
                <w:rStyle w:val="Hyperlink"/>
                <w:noProof/>
              </w:rPr>
              <w:t>3.5.2.  Sidemepotentsiaalid</w:t>
            </w:r>
            <w:r>
              <w:rPr>
                <w:noProof/>
                <w:webHidden/>
              </w:rPr>
              <w:tab/>
            </w:r>
            <w:r>
              <w:rPr>
                <w:noProof/>
                <w:webHidden/>
              </w:rPr>
              <w:fldChar w:fldCharType="begin"/>
            </w:r>
            <w:r>
              <w:rPr>
                <w:noProof/>
                <w:webHidden/>
              </w:rPr>
              <w:instrText xml:space="preserve"> PAGEREF _Toc325224184 \h </w:instrText>
            </w:r>
            <w:r>
              <w:rPr>
                <w:noProof/>
                <w:webHidden/>
              </w:rPr>
            </w:r>
            <w:r>
              <w:rPr>
                <w:noProof/>
                <w:webHidden/>
              </w:rPr>
              <w:fldChar w:fldCharType="separate"/>
            </w:r>
            <w:r>
              <w:rPr>
                <w:noProof/>
                <w:webHidden/>
              </w:rPr>
              <w:t>20</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85" w:history="1">
            <w:r w:rsidRPr="00780DCE">
              <w:rPr>
                <w:rStyle w:val="Hyperlink"/>
                <w:noProof/>
              </w:rPr>
              <w:t>3.5.3.  Valentsnurgad</w:t>
            </w:r>
            <w:r>
              <w:rPr>
                <w:noProof/>
                <w:webHidden/>
              </w:rPr>
              <w:tab/>
            </w:r>
            <w:r>
              <w:rPr>
                <w:noProof/>
                <w:webHidden/>
              </w:rPr>
              <w:fldChar w:fldCharType="begin"/>
            </w:r>
            <w:r>
              <w:rPr>
                <w:noProof/>
                <w:webHidden/>
              </w:rPr>
              <w:instrText xml:space="preserve"> PAGEREF _Toc325224185 \h </w:instrText>
            </w:r>
            <w:r>
              <w:rPr>
                <w:noProof/>
                <w:webHidden/>
              </w:rPr>
            </w:r>
            <w:r>
              <w:rPr>
                <w:noProof/>
                <w:webHidden/>
              </w:rPr>
              <w:fldChar w:fldCharType="separate"/>
            </w:r>
            <w:r>
              <w:rPr>
                <w:noProof/>
                <w:webHidden/>
              </w:rPr>
              <w:t>21</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86" w:history="1">
            <w:r w:rsidRPr="00780DCE">
              <w:rPr>
                <w:rStyle w:val="Hyperlink"/>
                <w:noProof/>
              </w:rPr>
              <w:t>3.5.4.  Dihedraalnurgad</w:t>
            </w:r>
            <w:r>
              <w:rPr>
                <w:noProof/>
                <w:webHidden/>
              </w:rPr>
              <w:tab/>
            </w:r>
            <w:r>
              <w:rPr>
                <w:noProof/>
                <w:webHidden/>
              </w:rPr>
              <w:fldChar w:fldCharType="begin"/>
            </w:r>
            <w:r>
              <w:rPr>
                <w:noProof/>
                <w:webHidden/>
              </w:rPr>
              <w:instrText xml:space="preserve"> PAGEREF _Toc325224186 \h </w:instrText>
            </w:r>
            <w:r>
              <w:rPr>
                <w:noProof/>
                <w:webHidden/>
              </w:rPr>
            </w:r>
            <w:r>
              <w:rPr>
                <w:noProof/>
                <w:webHidden/>
              </w:rPr>
              <w:fldChar w:fldCharType="separate"/>
            </w:r>
            <w:r>
              <w:rPr>
                <w:noProof/>
                <w:webHidden/>
              </w:rPr>
              <w:t>22</w:t>
            </w:r>
            <w:r>
              <w:rPr>
                <w:noProof/>
                <w:webHidden/>
              </w:rPr>
              <w:fldChar w:fldCharType="end"/>
            </w:r>
          </w:hyperlink>
        </w:p>
        <w:p w:rsidR="004149B0" w:rsidRDefault="004149B0">
          <w:pPr>
            <w:pStyle w:val="TOC3"/>
            <w:tabs>
              <w:tab w:val="right" w:leader="dot" w:pos="9062"/>
            </w:tabs>
            <w:rPr>
              <w:rFonts w:asciiTheme="minorHAnsi" w:hAnsiTheme="minorHAnsi"/>
              <w:noProof/>
              <w:sz w:val="22"/>
              <w:lang w:eastAsia="et-EE"/>
            </w:rPr>
          </w:pPr>
          <w:hyperlink w:anchor="_Toc325224187" w:history="1">
            <w:r w:rsidRPr="00780DCE">
              <w:rPr>
                <w:rStyle w:val="Hyperlink"/>
                <w:noProof/>
              </w:rPr>
              <w:t>3.5.5.  Van der Waalsi jõud ja elektrostaatika</w:t>
            </w:r>
            <w:r>
              <w:rPr>
                <w:noProof/>
                <w:webHidden/>
              </w:rPr>
              <w:tab/>
            </w:r>
            <w:r>
              <w:rPr>
                <w:noProof/>
                <w:webHidden/>
              </w:rPr>
              <w:fldChar w:fldCharType="begin"/>
            </w:r>
            <w:r>
              <w:rPr>
                <w:noProof/>
                <w:webHidden/>
              </w:rPr>
              <w:instrText xml:space="preserve"> PAGEREF _Toc325224187 \h </w:instrText>
            </w:r>
            <w:r>
              <w:rPr>
                <w:noProof/>
                <w:webHidden/>
              </w:rPr>
            </w:r>
            <w:r>
              <w:rPr>
                <w:noProof/>
                <w:webHidden/>
              </w:rPr>
              <w:fldChar w:fldCharType="separate"/>
            </w:r>
            <w:r>
              <w:rPr>
                <w:noProof/>
                <w:webHidden/>
              </w:rPr>
              <w:t>23</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88" w:history="1">
            <w:r w:rsidRPr="00780DCE">
              <w:rPr>
                <w:rStyle w:val="Hyperlink"/>
                <w:rFonts w:cs="Times New Roman"/>
                <w:noProof/>
              </w:rPr>
              <w:t>4.   TULEMUSED JA ANALÜÜS</w:t>
            </w:r>
            <w:r>
              <w:rPr>
                <w:noProof/>
                <w:webHidden/>
              </w:rPr>
              <w:tab/>
            </w:r>
            <w:r>
              <w:rPr>
                <w:noProof/>
                <w:webHidden/>
              </w:rPr>
              <w:fldChar w:fldCharType="begin"/>
            </w:r>
            <w:r>
              <w:rPr>
                <w:noProof/>
                <w:webHidden/>
              </w:rPr>
              <w:instrText xml:space="preserve"> PAGEREF _Toc325224188 \h </w:instrText>
            </w:r>
            <w:r>
              <w:rPr>
                <w:noProof/>
                <w:webHidden/>
              </w:rPr>
            </w:r>
            <w:r>
              <w:rPr>
                <w:noProof/>
                <w:webHidden/>
              </w:rPr>
              <w:fldChar w:fldCharType="separate"/>
            </w:r>
            <w:r>
              <w:rPr>
                <w:noProof/>
                <w:webHidden/>
              </w:rPr>
              <w:t>25</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89" w:history="1">
            <w:r w:rsidRPr="00780DCE">
              <w:rPr>
                <w:rStyle w:val="Hyperlink"/>
                <w:noProof/>
              </w:rPr>
              <w:t>4.1.  Süsteemi genereerimine ja tasakaalustamine.</w:t>
            </w:r>
            <w:r>
              <w:rPr>
                <w:noProof/>
                <w:webHidden/>
              </w:rPr>
              <w:tab/>
            </w:r>
            <w:r>
              <w:rPr>
                <w:noProof/>
                <w:webHidden/>
              </w:rPr>
              <w:fldChar w:fldCharType="begin"/>
            </w:r>
            <w:r>
              <w:rPr>
                <w:noProof/>
                <w:webHidden/>
              </w:rPr>
              <w:instrText xml:space="preserve"> PAGEREF _Toc325224189 \h </w:instrText>
            </w:r>
            <w:r>
              <w:rPr>
                <w:noProof/>
                <w:webHidden/>
              </w:rPr>
            </w:r>
            <w:r>
              <w:rPr>
                <w:noProof/>
                <w:webHidden/>
              </w:rPr>
              <w:fldChar w:fldCharType="separate"/>
            </w:r>
            <w:r>
              <w:rPr>
                <w:noProof/>
                <w:webHidden/>
              </w:rPr>
              <w:t>25</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90" w:history="1">
            <w:r w:rsidRPr="00780DCE">
              <w:rPr>
                <w:rStyle w:val="Hyperlink"/>
                <w:noProof/>
              </w:rPr>
              <w:t>4.2.  Süsteemi struktuur</w:t>
            </w:r>
            <w:r>
              <w:rPr>
                <w:noProof/>
                <w:webHidden/>
              </w:rPr>
              <w:tab/>
            </w:r>
            <w:r>
              <w:rPr>
                <w:noProof/>
                <w:webHidden/>
              </w:rPr>
              <w:fldChar w:fldCharType="begin"/>
            </w:r>
            <w:r>
              <w:rPr>
                <w:noProof/>
                <w:webHidden/>
              </w:rPr>
              <w:instrText xml:space="preserve"> PAGEREF _Toc325224190 \h </w:instrText>
            </w:r>
            <w:r>
              <w:rPr>
                <w:noProof/>
                <w:webHidden/>
              </w:rPr>
            </w:r>
            <w:r>
              <w:rPr>
                <w:noProof/>
                <w:webHidden/>
              </w:rPr>
              <w:fldChar w:fldCharType="separate"/>
            </w:r>
            <w:r>
              <w:rPr>
                <w:noProof/>
                <w:webHidden/>
              </w:rPr>
              <w:t>26</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91" w:history="1">
            <w:r w:rsidRPr="00780DCE">
              <w:rPr>
                <w:rStyle w:val="Hyperlink"/>
                <w:noProof/>
              </w:rPr>
              <w:t>4.3.  Li-iooni koordinatsioon anioonidega</w:t>
            </w:r>
            <w:r>
              <w:rPr>
                <w:noProof/>
                <w:webHidden/>
              </w:rPr>
              <w:tab/>
            </w:r>
            <w:r>
              <w:rPr>
                <w:noProof/>
                <w:webHidden/>
              </w:rPr>
              <w:fldChar w:fldCharType="begin"/>
            </w:r>
            <w:r>
              <w:rPr>
                <w:noProof/>
                <w:webHidden/>
              </w:rPr>
              <w:instrText xml:space="preserve"> PAGEREF _Toc325224191 \h </w:instrText>
            </w:r>
            <w:r>
              <w:rPr>
                <w:noProof/>
                <w:webHidden/>
              </w:rPr>
            </w:r>
            <w:r>
              <w:rPr>
                <w:noProof/>
                <w:webHidden/>
              </w:rPr>
              <w:fldChar w:fldCharType="separate"/>
            </w:r>
            <w:r>
              <w:rPr>
                <w:noProof/>
                <w:webHidden/>
              </w:rPr>
              <w:t>27</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92" w:history="1">
            <w:r w:rsidRPr="00780DCE">
              <w:rPr>
                <w:rStyle w:val="Hyperlink"/>
                <w:noProof/>
              </w:rPr>
              <w:t>4.5.  Li-iooni koordinatsioon kõrvalahela hapnikutega</w:t>
            </w:r>
            <w:r>
              <w:rPr>
                <w:noProof/>
                <w:webHidden/>
              </w:rPr>
              <w:tab/>
            </w:r>
            <w:r>
              <w:rPr>
                <w:noProof/>
                <w:webHidden/>
              </w:rPr>
              <w:fldChar w:fldCharType="begin"/>
            </w:r>
            <w:r>
              <w:rPr>
                <w:noProof/>
                <w:webHidden/>
              </w:rPr>
              <w:instrText xml:space="preserve"> PAGEREF _Toc325224192 \h </w:instrText>
            </w:r>
            <w:r>
              <w:rPr>
                <w:noProof/>
                <w:webHidden/>
              </w:rPr>
            </w:r>
            <w:r>
              <w:rPr>
                <w:noProof/>
                <w:webHidden/>
              </w:rPr>
              <w:fldChar w:fldCharType="separate"/>
            </w:r>
            <w:r>
              <w:rPr>
                <w:noProof/>
                <w:webHidden/>
              </w:rPr>
              <w:t>29</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93" w:history="1">
            <w:r w:rsidRPr="00780DCE">
              <w:rPr>
                <w:rStyle w:val="Hyperlink"/>
                <w:noProof/>
              </w:rPr>
              <w:t>4.6.  Aatomite liikuvus süsteemis</w:t>
            </w:r>
            <w:r>
              <w:rPr>
                <w:noProof/>
                <w:webHidden/>
              </w:rPr>
              <w:tab/>
            </w:r>
            <w:r>
              <w:rPr>
                <w:noProof/>
                <w:webHidden/>
              </w:rPr>
              <w:fldChar w:fldCharType="begin"/>
            </w:r>
            <w:r>
              <w:rPr>
                <w:noProof/>
                <w:webHidden/>
              </w:rPr>
              <w:instrText xml:space="preserve"> PAGEREF _Toc325224193 \h </w:instrText>
            </w:r>
            <w:r>
              <w:rPr>
                <w:noProof/>
                <w:webHidden/>
              </w:rPr>
            </w:r>
            <w:r>
              <w:rPr>
                <w:noProof/>
                <w:webHidden/>
              </w:rPr>
              <w:fldChar w:fldCharType="separate"/>
            </w:r>
            <w:r>
              <w:rPr>
                <w:noProof/>
                <w:webHidden/>
              </w:rPr>
              <w:t>32</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94" w:history="1">
            <w:r w:rsidRPr="00780DCE">
              <w:rPr>
                <w:rStyle w:val="Hyperlink"/>
                <w:noProof/>
              </w:rPr>
              <w:t>4.7.  Ioonide liikuvused</w:t>
            </w:r>
            <w:r>
              <w:rPr>
                <w:noProof/>
                <w:webHidden/>
              </w:rPr>
              <w:tab/>
            </w:r>
            <w:r>
              <w:rPr>
                <w:noProof/>
                <w:webHidden/>
              </w:rPr>
              <w:fldChar w:fldCharType="begin"/>
            </w:r>
            <w:r>
              <w:rPr>
                <w:noProof/>
                <w:webHidden/>
              </w:rPr>
              <w:instrText xml:space="preserve"> PAGEREF _Toc325224194 \h </w:instrText>
            </w:r>
            <w:r>
              <w:rPr>
                <w:noProof/>
                <w:webHidden/>
              </w:rPr>
            </w:r>
            <w:r>
              <w:rPr>
                <w:noProof/>
                <w:webHidden/>
              </w:rPr>
              <w:fldChar w:fldCharType="separate"/>
            </w:r>
            <w:r>
              <w:rPr>
                <w:noProof/>
                <w:webHidden/>
              </w:rPr>
              <w:t>33</w:t>
            </w:r>
            <w:r>
              <w:rPr>
                <w:noProof/>
                <w:webHidden/>
              </w:rPr>
              <w:fldChar w:fldCharType="end"/>
            </w:r>
          </w:hyperlink>
        </w:p>
        <w:p w:rsidR="004149B0" w:rsidRDefault="004149B0">
          <w:pPr>
            <w:pStyle w:val="TOC2"/>
            <w:tabs>
              <w:tab w:val="right" w:leader="dot" w:pos="9062"/>
            </w:tabs>
            <w:rPr>
              <w:rFonts w:asciiTheme="minorHAnsi" w:hAnsiTheme="minorHAnsi"/>
              <w:noProof/>
              <w:sz w:val="22"/>
              <w:lang w:eastAsia="et-EE"/>
            </w:rPr>
          </w:pPr>
          <w:hyperlink w:anchor="_Toc325224195" w:history="1">
            <w:r w:rsidRPr="00780DCE">
              <w:rPr>
                <w:rStyle w:val="Hyperlink"/>
                <w:noProof/>
              </w:rPr>
              <w:t>4.8.  Li-ioonide mobiilsus</w:t>
            </w:r>
            <w:r>
              <w:rPr>
                <w:noProof/>
                <w:webHidden/>
              </w:rPr>
              <w:tab/>
            </w:r>
            <w:r>
              <w:rPr>
                <w:noProof/>
                <w:webHidden/>
              </w:rPr>
              <w:fldChar w:fldCharType="begin"/>
            </w:r>
            <w:r>
              <w:rPr>
                <w:noProof/>
                <w:webHidden/>
              </w:rPr>
              <w:instrText xml:space="preserve"> PAGEREF _Toc325224195 \h </w:instrText>
            </w:r>
            <w:r>
              <w:rPr>
                <w:noProof/>
                <w:webHidden/>
              </w:rPr>
            </w:r>
            <w:r>
              <w:rPr>
                <w:noProof/>
                <w:webHidden/>
              </w:rPr>
              <w:fldChar w:fldCharType="separate"/>
            </w:r>
            <w:r>
              <w:rPr>
                <w:noProof/>
                <w:webHidden/>
              </w:rPr>
              <w:t>34</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96" w:history="1">
            <w:r w:rsidRPr="00780DCE">
              <w:rPr>
                <w:rStyle w:val="Hyperlink"/>
                <w:noProof/>
              </w:rPr>
              <w:t>6.   KOKKUVÕTE</w:t>
            </w:r>
            <w:r>
              <w:rPr>
                <w:noProof/>
                <w:webHidden/>
              </w:rPr>
              <w:tab/>
            </w:r>
            <w:r>
              <w:rPr>
                <w:noProof/>
                <w:webHidden/>
              </w:rPr>
              <w:fldChar w:fldCharType="begin"/>
            </w:r>
            <w:r>
              <w:rPr>
                <w:noProof/>
                <w:webHidden/>
              </w:rPr>
              <w:instrText xml:space="preserve"> PAGEREF _Toc325224196 \h </w:instrText>
            </w:r>
            <w:r>
              <w:rPr>
                <w:noProof/>
                <w:webHidden/>
              </w:rPr>
            </w:r>
            <w:r>
              <w:rPr>
                <w:noProof/>
                <w:webHidden/>
              </w:rPr>
              <w:fldChar w:fldCharType="separate"/>
            </w:r>
            <w:r>
              <w:rPr>
                <w:noProof/>
                <w:webHidden/>
              </w:rPr>
              <w:t>36</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97" w:history="1">
            <w:r w:rsidRPr="00780DCE">
              <w:rPr>
                <w:rStyle w:val="Hyperlink"/>
                <w:noProof/>
              </w:rPr>
              <w:t>7.   KASUTATUD KIRJANDUS</w:t>
            </w:r>
            <w:r>
              <w:rPr>
                <w:noProof/>
                <w:webHidden/>
              </w:rPr>
              <w:tab/>
            </w:r>
            <w:r>
              <w:rPr>
                <w:noProof/>
                <w:webHidden/>
              </w:rPr>
              <w:fldChar w:fldCharType="begin"/>
            </w:r>
            <w:r>
              <w:rPr>
                <w:noProof/>
                <w:webHidden/>
              </w:rPr>
              <w:instrText xml:space="preserve"> PAGEREF _Toc325224197 \h </w:instrText>
            </w:r>
            <w:r>
              <w:rPr>
                <w:noProof/>
                <w:webHidden/>
              </w:rPr>
            </w:r>
            <w:r>
              <w:rPr>
                <w:noProof/>
                <w:webHidden/>
              </w:rPr>
              <w:fldChar w:fldCharType="separate"/>
            </w:r>
            <w:r>
              <w:rPr>
                <w:noProof/>
                <w:webHidden/>
              </w:rPr>
              <w:t>37</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98" w:history="1">
            <w:r w:rsidRPr="00780DCE">
              <w:rPr>
                <w:rStyle w:val="Hyperlink"/>
                <w:noProof/>
              </w:rPr>
              <w:t>8.   SUMMARY</w:t>
            </w:r>
            <w:r>
              <w:rPr>
                <w:noProof/>
                <w:webHidden/>
              </w:rPr>
              <w:tab/>
            </w:r>
            <w:r>
              <w:rPr>
                <w:noProof/>
                <w:webHidden/>
              </w:rPr>
              <w:fldChar w:fldCharType="begin"/>
            </w:r>
            <w:r>
              <w:rPr>
                <w:noProof/>
                <w:webHidden/>
              </w:rPr>
              <w:instrText xml:space="preserve"> PAGEREF _Toc325224198 \h </w:instrText>
            </w:r>
            <w:r>
              <w:rPr>
                <w:noProof/>
                <w:webHidden/>
              </w:rPr>
            </w:r>
            <w:r>
              <w:rPr>
                <w:noProof/>
                <w:webHidden/>
              </w:rPr>
              <w:fldChar w:fldCharType="separate"/>
            </w:r>
            <w:r>
              <w:rPr>
                <w:noProof/>
                <w:webHidden/>
              </w:rPr>
              <w:t>42</w:t>
            </w:r>
            <w:r>
              <w:rPr>
                <w:noProof/>
                <w:webHidden/>
              </w:rPr>
              <w:fldChar w:fldCharType="end"/>
            </w:r>
          </w:hyperlink>
        </w:p>
        <w:p w:rsidR="004149B0" w:rsidRDefault="004149B0">
          <w:pPr>
            <w:pStyle w:val="TOC1"/>
            <w:tabs>
              <w:tab w:val="right" w:leader="dot" w:pos="9062"/>
            </w:tabs>
            <w:rPr>
              <w:rFonts w:asciiTheme="minorHAnsi" w:hAnsiTheme="minorHAnsi"/>
              <w:noProof/>
              <w:sz w:val="22"/>
              <w:lang w:eastAsia="et-EE"/>
            </w:rPr>
          </w:pPr>
          <w:hyperlink w:anchor="_Toc325224199" w:history="1">
            <w:r w:rsidRPr="00780DCE">
              <w:rPr>
                <w:rStyle w:val="Hyperlink"/>
                <w:noProof/>
              </w:rPr>
              <w:t>LISA 1</w:t>
            </w:r>
            <w:r>
              <w:rPr>
                <w:noProof/>
                <w:webHidden/>
              </w:rPr>
              <w:tab/>
            </w:r>
            <w:r>
              <w:rPr>
                <w:noProof/>
                <w:webHidden/>
              </w:rPr>
              <w:fldChar w:fldCharType="begin"/>
            </w:r>
            <w:r>
              <w:rPr>
                <w:noProof/>
                <w:webHidden/>
              </w:rPr>
              <w:instrText xml:space="preserve"> PAGEREF _Toc325224199 \h </w:instrText>
            </w:r>
            <w:r>
              <w:rPr>
                <w:noProof/>
                <w:webHidden/>
              </w:rPr>
            </w:r>
            <w:r>
              <w:rPr>
                <w:noProof/>
                <w:webHidden/>
              </w:rPr>
              <w:fldChar w:fldCharType="separate"/>
            </w:r>
            <w:r>
              <w:rPr>
                <w:noProof/>
                <w:webHidden/>
              </w:rPr>
              <w:t>44</w:t>
            </w:r>
            <w:r>
              <w:rPr>
                <w:noProof/>
                <w:webHidden/>
              </w:rPr>
              <w:fldChar w:fldCharType="end"/>
            </w:r>
          </w:hyperlink>
        </w:p>
        <w:p w:rsidR="00744EA7" w:rsidRPr="00E24616" w:rsidRDefault="00B23348" w:rsidP="00E24616">
          <w:r>
            <w:fldChar w:fldCharType="end"/>
          </w:r>
        </w:p>
      </w:sdtContent>
    </w:sdt>
    <w:p w:rsidR="00E074A0" w:rsidRDefault="00C8274D" w:rsidP="00F20EC9">
      <w:pPr>
        <w:pStyle w:val="Heading1"/>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A256E7" w:rsidRDefault="00A256E7" w:rsidP="00C8274D"/>
    <w:p w:rsidR="0024734C" w:rsidRPr="0057174F" w:rsidRDefault="00A256E7" w:rsidP="0024734C">
      <w:pPr>
        <w:pStyle w:val="Heading1"/>
        <w:rPr>
          <w:szCs w:val="32"/>
        </w:rPr>
      </w:pPr>
      <w:bookmarkStart w:id="3" w:name="_Toc230501770"/>
      <w:bookmarkStart w:id="4" w:name="_Toc325224164"/>
      <w:bookmarkEnd w:id="1"/>
      <w:bookmarkEnd w:id="2"/>
      <w:r>
        <w:t>1</w:t>
      </w:r>
      <w:r w:rsidR="0024734C">
        <w:t>.   SISSEJUHATUS</w:t>
      </w:r>
      <w:bookmarkEnd w:id="3"/>
      <w:bookmarkEnd w:id="4"/>
    </w:p>
    <w:p w:rsidR="00973BBC" w:rsidRPr="00CF7380" w:rsidRDefault="00973BBC" w:rsidP="00AF1811">
      <w:pPr>
        <w:pStyle w:val="Heading2"/>
        <w:rPr>
          <w:color w:val="000000"/>
        </w:rPr>
      </w:pPr>
      <w:bookmarkStart w:id="5" w:name="_Toc230501774"/>
      <w:bookmarkStart w:id="6" w:name="_Toc325224165"/>
      <w:r w:rsidRPr="00CF7380">
        <w:t>1.1   Taaslaetavad akud</w:t>
      </w:r>
      <w:bookmarkEnd w:id="6"/>
    </w:p>
    <w:p w:rsidR="00973BBC" w:rsidRDefault="00B40F21" w:rsidP="00BD4E06">
      <w:pPr>
        <w:autoSpaceDE w:val="0"/>
        <w:autoSpaceDN w:val="0"/>
        <w:adjustRightInd w:val="0"/>
        <w:spacing w:after="0"/>
        <w:rPr>
          <w:rFonts w:cs="Times New Roman"/>
          <w:szCs w:val="24"/>
        </w:rPr>
      </w:pPr>
      <w:r>
        <w:rPr>
          <w:rFonts w:cs="Times New Roman"/>
          <w:color w:val="000000"/>
          <w:szCs w:val="24"/>
        </w:rPr>
        <w:t>Energia tootmine</w:t>
      </w:r>
      <w:r w:rsidR="008C3A17">
        <w:rPr>
          <w:rFonts w:cs="Times New Roman"/>
          <w:color w:val="000000"/>
          <w:szCs w:val="24"/>
        </w:rPr>
        <w:t xml:space="preserve"> </w:t>
      </w:r>
      <w:r>
        <w:rPr>
          <w:rFonts w:cs="Times New Roman"/>
          <w:color w:val="000000"/>
          <w:szCs w:val="24"/>
        </w:rPr>
        <w:t xml:space="preserve">ning selle </w:t>
      </w:r>
      <w:r w:rsidR="008C3A17">
        <w:rPr>
          <w:rFonts w:cs="Times New Roman"/>
          <w:color w:val="000000"/>
          <w:szCs w:val="24"/>
        </w:rPr>
        <w:t>salvestamine ja transport on tegevused, ilma milleta inimkond ei saa tagada oma ellujäämist.</w:t>
      </w:r>
      <w:r w:rsidR="00E61646">
        <w:rPr>
          <w:rFonts w:cs="Times New Roman"/>
          <w:color w:val="000000"/>
          <w:szCs w:val="24"/>
        </w:rPr>
        <w:t xml:space="preserve"> Kuigi P</w:t>
      </w:r>
      <w:r w:rsidR="00DD150D">
        <w:rPr>
          <w:rFonts w:cs="Times New Roman"/>
          <w:color w:val="000000"/>
          <w:szCs w:val="24"/>
        </w:rPr>
        <w:t>äike on sisuliselt</w:t>
      </w:r>
      <w:r w:rsidR="008338AE">
        <w:rPr>
          <w:rFonts w:cs="Times New Roman"/>
          <w:color w:val="000000"/>
          <w:szCs w:val="24"/>
        </w:rPr>
        <w:t xml:space="preserve"> meie jaoks ammendamatuks energiaallikaks, pole päikeseenergia</w:t>
      </w:r>
      <w:r w:rsidR="000463E3">
        <w:rPr>
          <w:rFonts w:cs="Times New Roman"/>
          <w:color w:val="000000"/>
          <w:szCs w:val="24"/>
        </w:rPr>
        <w:t xml:space="preserve"> tootmise</w:t>
      </w:r>
      <w:r w:rsidR="008338AE">
        <w:rPr>
          <w:rFonts w:cs="Times New Roman"/>
          <w:color w:val="000000"/>
          <w:szCs w:val="24"/>
        </w:rPr>
        <w:t xml:space="preserve"> tehnoloogia või selliselt saadud energia maksumus veel vastuvõetavad.</w:t>
      </w:r>
      <w:r w:rsidR="00134016">
        <w:rPr>
          <w:rFonts w:cs="Times New Roman"/>
          <w:color w:val="000000"/>
          <w:szCs w:val="24"/>
        </w:rPr>
        <w:t xml:space="preserve"> Suurte </w:t>
      </w:r>
      <w:r w:rsidR="00EC1635">
        <w:rPr>
          <w:rFonts w:cs="Times New Roman"/>
          <w:color w:val="000000"/>
          <w:szCs w:val="24"/>
        </w:rPr>
        <w:t>elektri</w:t>
      </w:r>
      <w:r w:rsidR="000463E3">
        <w:rPr>
          <w:rFonts w:cs="Times New Roman"/>
          <w:color w:val="000000"/>
          <w:szCs w:val="24"/>
        </w:rPr>
        <w:t>energia</w:t>
      </w:r>
      <w:r w:rsidR="00134016">
        <w:rPr>
          <w:rFonts w:cs="Times New Roman"/>
          <w:color w:val="000000"/>
          <w:szCs w:val="24"/>
        </w:rPr>
        <w:t>hulkade transport on lahendatud ülekandeliinide võrgustiku abil</w:t>
      </w:r>
      <w:r w:rsidR="00481AF4">
        <w:rPr>
          <w:rFonts w:cs="Times New Roman"/>
          <w:color w:val="000000"/>
          <w:szCs w:val="24"/>
        </w:rPr>
        <w:t>, kuid selliselt toimiv energiasüsteem nõuab pidevat energiatootmist ja toodetud energia mahust ärakulutamist.</w:t>
      </w:r>
      <w:r w:rsidR="0004313D">
        <w:rPr>
          <w:rFonts w:cs="Times New Roman"/>
          <w:color w:val="000000"/>
          <w:szCs w:val="24"/>
        </w:rPr>
        <w:t xml:space="preserve"> </w:t>
      </w:r>
      <w:r w:rsidR="00235C21" w:rsidRPr="00235C21">
        <w:rPr>
          <w:rFonts w:cs="Times New Roman"/>
          <w:szCs w:val="24"/>
        </w:rPr>
        <w:t>Mobiilne</w:t>
      </w:r>
      <w:r w:rsidR="0004313D" w:rsidRPr="00235C21">
        <w:rPr>
          <w:rFonts w:cs="Times New Roman"/>
          <w:szCs w:val="24"/>
        </w:rPr>
        <w:t xml:space="preserve"> </w:t>
      </w:r>
      <w:r w:rsidR="0004313D" w:rsidRPr="0004313D">
        <w:rPr>
          <w:rFonts w:cs="Times New Roman"/>
          <w:szCs w:val="24"/>
        </w:rPr>
        <w:t>inimene vajab aga portatiivseid elektri</w:t>
      </w:r>
      <w:r w:rsidR="0004313D">
        <w:rPr>
          <w:rFonts w:cs="Times New Roman"/>
          <w:szCs w:val="24"/>
        </w:rPr>
        <w:t>-</w:t>
      </w:r>
      <w:r w:rsidR="000463E3">
        <w:rPr>
          <w:rFonts w:cs="Times New Roman"/>
          <w:szCs w:val="24"/>
        </w:rPr>
        <w:t xml:space="preserve"> ja elektroonika</w:t>
      </w:r>
      <w:r w:rsidR="0004313D" w:rsidRPr="0004313D">
        <w:rPr>
          <w:rFonts w:cs="Times New Roman"/>
          <w:szCs w:val="24"/>
        </w:rPr>
        <w:t>seadmeid</w:t>
      </w:r>
      <w:r w:rsidR="0004313D">
        <w:rPr>
          <w:rFonts w:cs="Times New Roman"/>
          <w:szCs w:val="24"/>
        </w:rPr>
        <w:t xml:space="preserve">, </w:t>
      </w:r>
      <w:r w:rsidR="0004313D" w:rsidRPr="00235C21">
        <w:rPr>
          <w:rFonts w:cs="Times New Roman"/>
          <w:szCs w:val="24"/>
        </w:rPr>
        <w:t xml:space="preserve">nende </w:t>
      </w:r>
      <w:r w:rsidR="00235C21" w:rsidRPr="00235C21">
        <w:rPr>
          <w:rFonts w:cs="Times New Roman"/>
          <w:szCs w:val="24"/>
        </w:rPr>
        <w:t>toiteks</w:t>
      </w:r>
      <w:r w:rsidR="00235C21">
        <w:rPr>
          <w:rFonts w:cs="Times New Roman"/>
          <w:color w:val="FF0000"/>
          <w:szCs w:val="24"/>
        </w:rPr>
        <w:t xml:space="preserve"> </w:t>
      </w:r>
      <w:r w:rsidR="000463E3">
        <w:rPr>
          <w:rFonts w:cs="Times New Roman"/>
          <w:szCs w:val="24"/>
        </w:rPr>
        <w:t xml:space="preserve">aga </w:t>
      </w:r>
      <w:r w:rsidR="0004313D">
        <w:rPr>
          <w:rFonts w:cs="Times New Roman"/>
          <w:szCs w:val="24"/>
        </w:rPr>
        <w:t xml:space="preserve"> portatiivseid energiaallikaid.</w:t>
      </w:r>
      <w:r w:rsidR="00235C21">
        <w:rPr>
          <w:rFonts w:cs="Times New Roman"/>
          <w:szCs w:val="24"/>
        </w:rPr>
        <w:t xml:space="preserve"> Sellisteks on tänapäeval reaalselt ühekordsed patareid ja taaslaetavad akud. Mõlemas vabaneb energia keemiliste reaktsioonide tulemusel. Esimesel juhul on protsess pöördumatu, teisel juhul pööratav ehk siis aku on korduvkasutatav. Taaslaetavate akude  kasutusvõimalused on laialdased alates telefonidest, sülearvutitest kuni elektriautode jõuallikateni ja see loetelu võiks olla väga pikk ning laialdane.</w:t>
      </w:r>
    </w:p>
    <w:p w:rsidR="00BD4E06" w:rsidRPr="00BA3C04" w:rsidRDefault="00BD4E06" w:rsidP="00BD4E06">
      <w:pPr>
        <w:autoSpaceDE w:val="0"/>
        <w:autoSpaceDN w:val="0"/>
        <w:adjustRightInd w:val="0"/>
        <w:spacing w:after="0"/>
        <w:rPr>
          <w:rFonts w:cs="Times New Roman"/>
          <w:color w:val="000000"/>
          <w:szCs w:val="24"/>
        </w:rPr>
      </w:pPr>
    </w:p>
    <w:p w:rsidR="00BD4E06" w:rsidRDefault="00235C21" w:rsidP="00BD4E06">
      <w:pPr>
        <w:autoSpaceDE w:val="0"/>
        <w:autoSpaceDN w:val="0"/>
        <w:adjustRightInd w:val="0"/>
        <w:spacing w:before="0" w:after="0"/>
        <w:rPr>
          <w:rFonts w:cs="Times New Roman"/>
          <w:szCs w:val="24"/>
        </w:rPr>
      </w:pPr>
      <w:r>
        <w:rPr>
          <w:rFonts w:cs="Times New Roman"/>
          <w:szCs w:val="24"/>
        </w:rPr>
        <w:t>Reaalselt kasutatavate akude ajalugu</w:t>
      </w:r>
      <w:r w:rsidR="002D69AE">
        <w:rPr>
          <w:rFonts w:cs="Times New Roman"/>
          <w:szCs w:val="24"/>
        </w:rPr>
        <w:t xml:space="preserve"> </w:t>
      </w:r>
      <w:r w:rsidR="0096238F">
        <w:rPr>
          <w:rFonts w:cs="Times New Roman"/>
          <w:szCs w:val="24"/>
        </w:rPr>
        <w:t>algab 1859</w:t>
      </w:r>
      <w:r w:rsidR="000463E3">
        <w:rPr>
          <w:rFonts w:cs="Times New Roman"/>
          <w:szCs w:val="24"/>
        </w:rPr>
        <w:t>.</w:t>
      </w:r>
      <w:r w:rsidR="0096238F">
        <w:rPr>
          <w:rFonts w:cs="Times New Roman"/>
          <w:szCs w:val="24"/>
        </w:rPr>
        <w:t xml:space="preserve"> aastast, mil Gaston Plante leiutas esimese taaslaetava pliiaku</w:t>
      </w:r>
      <w:r w:rsidR="00E86F9C">
        <w:rPr>
          <w:rFonts w:cs="Times New Roman"/>
          <w:szCs w:val="24"/>
        </w:rPr>
        <w:t>. Järg</w:t>
      </w:r>
      <w:r w:rsidR="000463E3">
        <w:rPr>
          <w:rFonts w:cs="Times New Roman"/>
          <w:szCs w:val="24"/>
        </w:rPr>
        <w:t xml:space="preserve">misena töötati välja </w:t>
      </w:r>
      <w:r w:rsidR="00E86F9C">
        <w:rPr>
          <w:rFonts w:cs="Times New Roman"/>
          <w:szCs w:val="24"/>
        </w:rPr>
        <w:t>1903</w:t>
      </w:r>
      <w:r w:rsidR="000463E3">
        <w:rPr>
          <w:rFonts w:cs="Times New Roman"/>
          <w:szCs w:val="24"/>
        </w:rPr>
        <w:t>.</w:t>
      </w:r>
      <w:r w:rsidR="00E86F9C">
        <w:rPr>
          <w:rFonts w:cs="Times New Roman"/>
          <w:szCs w:val="24"/>
        </w:rPr>
        <w:t xml:space="preserve"> </w:t>
      </w:r>
      <w:r w:rsidR="00DB29C6">
        <w:rPr>
          <w:rFonts w:cs="Times New Roman"/>
          <w:szCs w:val="24"/>
        </w:rPr>
        <w:t>a</w:t>
      </w:r>
      <w:r w:rsidR="00E86F9C">
        <w:rPr>
          <w:rFonts w:cs="Times New Roman"/>
          <w:szCs w:val="24"/>
        </w:rPr>
        <w:t>astal</w:t>
      </w:r>
      <w:r w:rsidR="000463E3">
        <w:rPr>
          <w:rFonts w:cs="Times New Roman"/>
          <w:szCs w:val="24"/>
        </w:rPr>
        <w:t xml:space="preserve"> </w:t>
      </w:r>
      <w:r w:rsidR="00E86F9C">
        <w:rPr>
          <w:rFonts w:cs="Times New Roman"/>
          <w:szCs w:val="24"/>
        </w:rPr>
        <w:t>NiCd aku, millele järgnes NiMH</w:t>
      </w:r>
      <w:r w:rsidR="00CF6242">
        <w:rPr>
          <w:rFonts w:cs="Times New Roman"/>
          <w:szCs w:val="24"/>
        </w:rPr>
        <w:t xml:space="preserve"> </w:t>
      </w:r>
      <w:sdt>
        <w:sdtPr>
          <w:rPr>
            <w:rFonts w:cs="Times New Roman"/>
            <w:szCs w:val="24"/>
          </w:rPr>
          <w:id w:val="321224"/>
          <w:citation/>
        </w:sdtPr>
        <w:sdtContent>
          <w:r w:rsidR="00B23348">
            <w:rPr>
              <w:rFonts w:cs="Times New Roman"/>
              <w:szCs w:val="24"/>
            </w:rPr>
            <w:fldChar w:fldCharType="begin"/>
          </w:r>
          <w:r w:rsidR="00F264CF">
            <w:rPr>
              <w:rFonts w:cs="Times New Roman"/>
              <w:szCs w:val="24"/>
            </w:rPr>
            <w:instrText xml:space="preserve"> CITATION Kur09 \l 1061  </w:instrText>
          </w:r>
          <w:r w:rsidR="00B23348">
            <w:rPr>
              <w:rFonts w:cs="Times New Roman"/>
              <w:szCs w:val="24"/>
            </w:rPr>
            <w:fldChar w:fldCharType="separate"/>
          </w:r>
          <w:r w:rsidR="005B76C8" w:rsidRPr="005B76C8">
            <w:rPr>
              <w:rFonts w:cs="Times New Roman"/>
              <w:noProof/>
              <w:szCs w:val="24"/>
            </w:rPr>
            <w:t>[</w:t>
          </w:r>
          <w:hyperlink w:anchor="Kur09" w:history="1">
            <w:r w:rsidR="005B76C8" w:rsidRPr="005B76C8">
              <w:rPr>
                <w:rStyle w:val="Heading2Char"/>
                <w:rFonts w:eastAsiaTheme="minorHAnsi" w:cs="Times New Roman"/>
                <w:noProof/>
                <w:sz w:val="24"/>
                <w:szCs w:val="24"/>
              </w:rPr>
              <w:t>1</w:t>
            </w:r>
          </w:hyperlink>
          <w:r w:rsidR="005B76C8" w:rsidRPr="005B76C8">
            <w:rPr>
              <w:rFonts w:cs="Times New Roman"/>
              <w:noProof/>
              <w:szCs w:val="24"/>
            </w:rPr>
            <w:t>]</w:t>
          </w:r>
          <w:r w:rsidR="00B23348">
            <w:rPr>
              <w:rFonts w:cs="Times New Roman"/>
              <w:szCs w:val="24"/>
            </w:rPr>
            <w:fldChar w:fldCharType="end"/>
          </w:r>
        </w:sdtContent>
      </w:sdt>
      <w:r w:rsidR="00E86F9C">
        <w:rPr>
          <w:rFonts w:cs="Times New Roman"/>
          <w:szCs w:val="24"/>
        </w:rPr>
        <w:t>. Revolutsiooniline oli liitiumioonaku</w:t>
      </w:r>
      <w:r w:rsidR="0073403A">
        <w:rPr>
          <w:rFonts w:cs="Times New Roman"/>
          <w:szCs w:val="24"/>
        </w:rPr>
        <w:t xml:space="preserve"> väljatöötamine</w:t>
      </w:r>
      <w:r w:rsidR="00DB29C6">
        <w:rPr>
          <w:rFonts w:cs="Times New Roman"/>
          <w:szCs w:val="24"/>
        </w:rPr>
        <w:t xml:space="preserve"> 1970 ndate alguses</w:t>
      </w:r>
      <w:r w:rsidR="009A6954">
        <w:rPr>
          <w:rFonts w:cs="Times New Roman"/>
          <w:szCs w:val="24"/>
        </w:rPr>
        <w:t>. Selle areng on praeguseks jõudnud liitiumioon-polümeerakuni (</w:t>
      </w:r>
      <w:r w:rsidR="00DB29C6">
        <w:rPr>
          <w:rFonts w:cs="Times New Roman"/>
          <w:szCs w:val="24"/>
        </w:rPr>
        <w:t>LIPO</w:t>
      </w:r>
      <w:r w:rsidR="009A6954">
        <w:rPr>
          <w:rFonts w:cs="Times New Roman"/>
          <w:szCs w:val="24"/>
        </w:rPr>
        <w:t>) ning loomulikult arendamine jätkub.</w:t>
      </w:r>
    </w:p>
    <w:p w:rsidR="00BD4E06" w:rsidRDefault="00BD4E06" w:rsidP="00BD4E06">
      <w:pPr>
        <w:autoSpaceDE w:val="0"/>
        <w:autoSpaceDN w:val="0"/>
        <w:adjustRightInd w:val="0"/>
        <w:spacing w:before="0" w:after="0"/>
        <w:rPr>
          <w:rFonts w:cs="Times New Roman"/>
          <w:szCs w:val="24"/>
        </w:rPr>
      </w:pPr>
    </w:p>
    <w:p w:rsidR="00537184" w:rsidRDefault="009A6954" w:rsidP="00BD4E06">
      <w:pPr>
        <w:autoSpaceDE w:val="0"/>
        <w:autoSpaceDN w:val="0"/>
        <w:adjustRightInd w:val="0"/>
        <w:spacing w:before="0" w:after="0"/>
        <w:rPr>
          <w:rFonts w:cs="Times New Roman"/>
          <w:szCs w:val="24"/>
        </w:rPr>
      </w:pPr>
      <w:r>
        <w:rPr>
          <w:rFonts w:cs="Times New Roman"/>
          <w:szCs w:val="24"/>
        </w:rPr>
        <w:t xml:space="preserve"> </w:t>
      </w:r>
      <w:r w:rsidR="000569BD">
        <w:rPr>
          <w:rFonts w:cs="Times New Roman"/>
          <w:szCs w:val="24"/>
        </w:rPr>
        <w:t>LIPO koosneb tavalisest positiivsest elektroodist (LiCoO</w:t>
      </w:r>
      <w:r w:rsidR="000569BD">
        <w:rPr>
          <w:rFonts w:cs="Times New Roman"/>
          <w:szCs w:val="24"/>
          <w:vertAlign w:val="subscript"/>
        </w:rPr>
        <w:t>2</w:t>
      </w:r>
      <w:r w:rsidR="000569BD">
        <w:rPr>
          <w:rFonts w:cs="Times New Roman"/>
          <w:szCs w:val="24"/>
        </w:rPr>
        <w:t>, LiCo</w:t>
      </w:r>
      <w:r w:rsidR="000569BD">
        <w:rPr>
          <w:rFonts w:cs="Times New Roman"/>
          <w:szCs w:val="24"/>
          <w:vertAlign w:val="subscript"/>
        </w:rPr>
        <w:t>x</w:t>
      </w:r>
      <w:r w:rsidR="000569BD">
        <w:rPr>
          <w:rFonts w:cs="Times New Roman"/>
          <w:szCs w:val="24"/>
        </w:rPr>
        <w:t>, LiMn</w:t>
      </w:r>
      <w:r w:rsidR="000569BD">
        <w:rPr>
          <w:rFonts w:cs="Times New Roman"/>
          <w:szCs w:val="24"/>
          <w:vertAlign w:val="subscript"/>
        </w:rPr>
        <w:t>2</w:t>
      </w:r>
      <w:r w:rsidR="000569BD">
        <w:rPr>
          <w:rFonts w:cs="Times New Roman"/>
          <w:szCs w:val="24"/>
        </w:rPr>
        <w:t>O</w:t>
      </w:r>
      <w:r w:rsidR="000569BD">
        <w:rPr>
          <w:rFonts w:cs="Times New Roman"/>
          <w:szCs w:val="24"/>
          <w:vertAlign w:val="subscript"/>
        </w:rPr>
        <w:t>4</w:t>
      </w:r>
      <w:r w:rsidR="000569BD">
        <w:rPr>
          <w:rFonts w:cs="Times New Roman"/>
          <w:szCs w:val="24"/>
        </w:rPr>
        <w:t xml:space="preserve"> jne), negatiivsest elektroodist (LiC</w:t>
      </w:r>
      <w:r w:rsidR="000569BD">
        <w:rPr>
          <w:rFonts w:cs="Times New Roman"/>
          <w:szCs w:val="24"/>
          <w:vertAlign w:val="subscript"/>
        </w:rPr>
        <w:t>6</w:t>
      </w:r>
      <w:r w:rsidR="000569BD">
        <w:rPr>
          <w:rFonts w:cs="Times New Roman"/>
          <w:szCs w:val="24"/>
        </w:rPr>
        <w:t>, KC</w:t>
      </w:r>
      <w:r w:rsidR="000569BD">
        <w:rPr>
          <w:rFonts w:cs="Times New Roman"/>
          <w:szCs w:val="24"/>
          <w:vertAlign w:val="subscript"/>
        </w:rPr>
        <w:t>8,</w:t>
      </w:r>
      <w:r w:rsidR="000569BD">
        <w:rPr>
          <w:rFonts w:cs="Times New Roman"/>
          <w:szCs w:val="24"/>
        </w:rPr>
        <w:t>SnO</w:t>
      </w:r>
      <w:r w:rsidR="000569BD">
        <w:rPr>
          <w:rFonts w:cs="Times New Roman"/>
          <w:szCs w:val="24"/>
          <w:vertAlign w:val="subscript"/>
        </w:rPr>
        <w:t>2</w:t>
      </w:r>
      <w:r w:rsidR="000569BD">
        <w:rPr>
          <w:rFonts w:cs="Times New Roman"/>
          <w:szCs w:val="24"/>
        </w:rPr>
        <w:t xml:space="preserve"> jne) ja nende vahel olevast elektrolüüdist-separaatorist (PEO, PPO, PVC jne )</w:t>
      </w:r>
      <w:r w:rsidR="00EA1783">
        <w:rPr>
          <w:rFonts w:cs="Times New Roman"/>
          <w:szCs w:val="24"/>
        </w:rPr>
        <w:t>, mida illustreerib</w:t>
      </w:r>
      <w:r w:rsidR="000569BD">
        <w:rPr>
          <w:rFonts w:cs="Times New Roman"/>
          <w:szCs w:val="24"/>
        </w:rPr>
        <w:t xml:space="preserve"> </w:t>
      </w:r>
      <w:r w:rsidR="007A3E12">
        <w:rPr>
          <w:rFonts w:cs="Times New Roman"/>
          <w:szCs w:val="24"/>
        </w:rPr>
        <w:t>joonis 1</w:t>
      </w:r>
      <w:r w:rsidR="006E6BC1" w:rsidRPr="006E6BC1">
        <w:rPr>
          <w:rFonts w:cs="Times New Roman"/>
          <w:szCs w:val="24"/>
        </w:rPr>
        <w:t xml:space="preserve"> </w:t>
      </w:r>
      <w:sdt>
        <w:sdtPr>
          <w:rPr>
            <w:rFonts w:cs="Times New Roman"/>
            <w:szCs w:val="24"/>
          </w:rPr>
          <w:id w:val="6938517"/>
          <w:citation/>
        </w:sdtPr>
        <w:sdtContent>
          <w:r w:rsidR="00B23348">
            <w:rPr>
              <w:rFonts w:cs="Times New Roman"/>
              <w:szCs w:val="24"/>
            </w:rPr>
            <w:fldChar w:fldCharType="begin"/>
          </w:r>
          <w:r w:rsidR="00B75B3F">
            <w:rPr>
              <w:rFonts w:cs="Times New Roman"/>
              <w:szCs w:val="24"/>
            </w:rPr>
            <w:instrText xml:space="preserve"> CITATION A \m D \l 1061  </w:instrText>
          </w:r>
          <w:r w:rsidR="00B23348">
            <w:rPr>
              <w:rFonts w:cs="Times New Roman"/>
              <w:szCs w:val="24"/>
            </w:rPr>
            <w:fldChar w:fldCharType="separate"/>
          </w:r>
          <w:r w:rsidR="005B76C8" w:rsidRPr="005B76C8">
            <w:rPr>
              <w:rFonts w:cs="Times New Roman"/>
              <w:noProof/>
              <w:szCs w:val="24"/>
            </w:rPr>
            <w:t>[</w:t>
          </w:r>
          <w:hyperlink w:anchor="A" w:history="1">
            <w:r w:rsidR="005B76C8" w:rsidRPr="005B76C8">
              <w:rPr>
                <w:rStyle w:val="Heading2Char"/>
                <w:rFonts w:eastAsiaTheme="minorHAnsi" w:cs="Times New Roman"/>
                <w:noProof/>
                <w:sz w:val="24"/>
                <w:szCs w:val="24"/>
              </w:rPr>
              <w:t>2</w:t>
            </w:r>
          </w:hyperlink>
          <w:r w:rsidR="005B76C8" w:rsidRPr="005B76C8">
            <w:rPr>
              <w:rFonts w:cs="Times New Roman"/>
              <w:noProof/>
              <w:szCs w:val="24"/>
            </w:rPr>
            <w:t>,</w:t>
          </w:r>
          <w:hyperlink w:anchor="D" w:history="1">
            <w:r w:rsidR="005B76C8" w:rsidRPr="005B76C8">
              <w:rPr>
                <w:rStyle w:val="Heading2Char"/>
                <w:rFonts w:eastAsiaTheme="minorHAnsi" w:cs="Times New Roman"/>
                <w:noProof/>
                <w:sz w:val="24"/>
                <w:szCs w:val="24"/>
              </w:rPr>
              <w:t>3</w:t>
            </w:r>
          </w:hyperlink>
          <w:r w:rsidR="005B76C8" w:rsidRPr="005B76C8">
            <w:rPr>
              <w:rFonts w:cs="Times New Roman"/>
              <w:noProof/>
              <w:szCs w:val="24"/>
            </w:rPr>
            <w:t>]</w:t>
          </w:r>
          <w:r w:rsidR="00B23348">
            <w:rPr>
              <w:rFonts w:cs="Times New Roman"/>
              <w:szCs w:val="24"/>
            </w:rPr>
            <w:fldChar w:fldCharType="end"/>
          </w:r>
        </w:sdtContent>
      </w:sdt>
      <w:r w:rsidR="000569BD">
        <w:rPr>
          <w:rFonts w:cs="Times New Roman"/>
          <w:szCs w:val="24"/>
        </w:rPr>
        <w:t xml:space="preserve">. </w:t>
      </w:r>
      <w:r>
        <w:rPr>
          <w:rFonts w:cs="Times New Roman"/>
          <w:szCs w:val="24"/>
        </w:rPr>
        <w:t>L</w:t>
      </w:r>
      <w:r w:rsidR="00DB29C6">
        <w:rPr>
          <w:rFonts w:cs="Times New Roman"/>
          <w:szCs w:val="24"/>
        </w:rPr>
        <w:t>IPO</w:t>
      </w:r>
      <w:r>
        <w:rPr>
          <w:rFonts w:cs="Times New Roman"/>
          <w:szCs w:val="24"/>
        </w:rPr>
        <w:t xml:space="preserve"> </w:t>
      </w:r>
      <w:r w:rsidR="000569BD">
        <w:rPr>
          <w:rFonts w:cs="Times New Roman"/>
          <w:szCs w:val="24"/>
        </w:rPr>
        <w:t xml:space="preserve">erineb </w:t>
      </w:r>
      <w:r w:rsidR="00537184">
        <w:rPr>
          <w:rFonts w:cs="Times New Roman"/>
          <w:szCs w:val="24"/>
        </w:rPr>
        <w:t>muudest liitiumiooni</w:t>
      </w:r>
      <w:r w:rsidR="000569BD">
        <w:rPr>
          <w:rFonts w:cs="Times New Roman"/>
          <w:szCs w:val="24"/>
        </w:rPr>
        <w:t xml:space="preserve">del põhinevatest akudest </w:t>
      </w:r>
      <w:r w:rsidR="00537184">
        <w:rPr>
          <w:rFonts w:cs="Times New Roman"/>
          <w:szCs w:val="24"/>
        </w:rPr>
        <w:t>selle poolest, et positiivse ja negatiivse elektroodi vahel olev laengukandjaid sisaldav elektrolüüt pole mitte vedel, vaid tahke. Nagu juba aku nimetuski ütleb, on selle</w:t>
      </w:r>
      <w:r w:rsidR="000569BD">
        <w:rPr>
          <w:rFonts w:cs="Times New Roman"/>
          <w:szCs w:val="24"/>
        </w:rPr>
        <w:t>k</w:t>
      </w:r>
      <w:r w:rsidR="00537184">
        <w:rPr>
          <w:rFonts w:cs="Times New Roman"/>
          <w:szCs w:val="24"/>
        </w:rPr>
        <w:t>s polümeer, mis sisaldab lahustunud liitiumsoola.</w:t>
      </w:r>
      <w:r w:rsidR="00E97BCA">
        <w:rPr>
          <w:rFonts w:cs="Times New Roman"/>
          <w:szCs w:val="24"/>
        </w:rPr>
        <w:t xml:space="preserve"> </w:t>
      </w:r>
      <w:r w:rsidR="000569BD">
        <w:rPr>
          <w:rFonts w:cs="Times New Roman"/>
          <w:szCs w:val="24"/>
        </w:rPr>
        <w:t>L</w:t>
      </w:r>
      <w:r w:rsidR="00537184">
        <w:rPr>
          <w:rFonts w:cs="Times New Roman"/>
          <w:szCs w:val="24"/>
        </w:rPr>
        <w:t>isaks elektrolüüdi</w:t>
      </w:r>
      <w:r w:rsidR="000569BD">
        <w:rPr>
          <w:rFonts w:cs="Times New Roman"/>
          <w:szCs w:val="24"/>
        </w:rPr>
        <w:t>le</w:t>
      </w:r>
      <w:r w:rsidR="00537184">
        <w:rPr>
          <w:rFonts w:cs="Times New Roman"/>
          <w:szCs w:val="24"/>
        </w:rPr>
        <w:t xml:space="preserve"> </w:t>
      </w:r>
      <w:r w:rsidR="000569BD">
        <w:rPr>
          <w:rFonts w:cs="Times New Roman"/>
          <w:szCs w:val="24"/>
        </w:rPr>
        <w:t xml:space="preserve">on polümeeri </w:t>
      </w:r>
      <w:r w:rsidR="00537184">
        <w:rPr>
          <w:rFonts w:cs="Times New Roman"/>
          <w:szCs w:val="24"/>
        </w:rPr>
        <w:t>tei</w:t>
      </w:r>
      <w:r w:rsidR="000569BD">
        <w:rPr>
          <w:rFonts w:cs="Times New Roman"/>
          <w:szCs w:val="24"/>
        </w:rPr>
        <w:t xml:space="preserve">seks oluliseks </w:t>
      </w:r>
      <w:r w:rsidR="00537184">
        <w:rPr>
          <w:rFonts w:cs="Times New Roman"/>
          <w:szCs w:val="24"/>
        </w:rPr>
        <w:t>funktsioon</w:t>
      </w:r>
      <w:r w:rsidR="000569BD">
        <w:rPr>
          <w:rFonts w:cs="Times New Roman"/>
          <w:szCs w:val="24"/>
        </w:rPr>
        <w:t>iks</w:t>
      </w:r>
      <w:r w:rsidR="002871F2">
        <w:rPr>
          <w:rFonts w:cs="Times New Roman"/>
          <w:szCs w:val="24"/>
        </w:rPr>
        <w:t xml:space="preserve"> </w:t>
      </w:r>
      <w:r w:rsidR="00537184">
        <w:rPr>
          <w:rFonts w:cs="Times New Roman"/>
          <w:szCs w:val="24"/>
        </w:rPr>
        <w:t>olla separaatoriks elektroodide vahel ja takistada nii aku võimalikku lühistumist.</w:t>
      </w:r>
      <w:r w:rsidR="00E97BCA">
        <w:rPr>
          <w:rFonts w:cs="Times New Roman"/>
          <w:szCs w:val="24"/>
        </w:rPr>
        <w:t xml:space="preserve"> </w:t>
      </w:r>
    </w:p>
    <w:p w:rsidR="00BD4E06" w:rsidRDefault="00BD4E06" w:rsidP="00BD4E06">
      <w:pPr>
        <w:autoSpaceDE w:val="0"/>
        <w:autoSpaceDN w:val="0"/>
        <w:adjustRightInd w:val="0"/>
        <w:spacing w:before="0" w:after="0"/>
        <w:rPr>
          <w:rFonts w:cs="Times New Roman"/>
          <w:szCs w:val="24"/>
        </w:rPr>
      </w:pPr>
    </w:p>
    <w:p w:rsidR="00BD4E06" w:rsidRDefault="00BD4E06" w:rsidP="00BD4E06">
      <w:pPr>
        <w:autoSpaceDE w:val="0"/>
        <w:autoSpaceDN w:val="0"/>
        <w:adjustRightInd w:val="0"/>
        <w:spacing w:before="0" w:after="0"/>
        <w:rPr>
          <w:rFonts w:cs="Times New Roman"/>
          <w:szCs w:val="24"/>
        </w:rPr>
      </w:pPr>
    </w:p>
    <w:p w:rsidR="007A091B" w:rsidRDefault="00114817" w:rsidP="007A091B">
      <w:pPr>
        <w:autoSpaceDE w:val="0"/>
        <w:autoSpaceDN w:val="0"/>
        <w:adjustRightInd w:val="0"/>
        <w:spacing w:after="0"/>
        <w:rPr>
          <w:rFonts w:cs="Times New Roman"/>
          <w:szCs w:val="24"/>
        </w:rPr>
      </w:pPr>
      <w:r>
        <w:rPr>
          <w:rFonts w:cs="Times New Roman"/>
          <w:szCs w:val="24"/>
        </w:rPr>
        <w:t>Laadimisel toimub positiivsel elektroodil</w:t>
      </w:r>
      <w:r w:rsidR="00A2178D">
        <w:rPr>
          <w:rFonts w:cs="Times New Roman"/>
          <w:szCs w:val="24"/>
        </w:rPr>
        <w:t xml:space="preserve"> (katoodil)</w:t>
      </w:r>
      <w:r w:rsidR="000D0759">
        <w:rPr>
          <w:rFonts w:cs="Times New Roman"/>
          <w:szCs w:val="24"/>
        </w:rPr>
        <w:t xml:space="preserve"> elektrokeemiline</w:t>
      </w:r>
      <w:r w:rsidR="0070266D">
        <w:rPr>
          <w:rFonts w:cs="Times New Roman"/>
          <w:szCs w:val="24"/>
        </w:rPr>
        <w:t xml:space="preserve"> </w:t>
      </w:r>
      <w:r>
        <w:rPr>
          <w:rFonts w:cs="Times New Roman"/>
          <w:szCs w:val="24"/>
        </w:rPr>
        <w:t>reaktsioon</w:t>
      </w:r>
      <w:r w:rsidR="0070266D">
        <w:rPr>
          <w:rFonts w:cs="Times New Roman"/>
          <w:szCs w:val="24"/>
        </w:rPr>
        <w:t xml:space="preserve"> </w:t>
      </w:r>
      <w:r w:rsidR="00E30A6A">
        <w:rPr>
          <w:rFonts w:cs="Times New Roman"/>
          <w:szCs w:val="24"/>
        </w:rPr>
        <w:t>(oksüdatsioon</w:t>
      </w:r>
      <w:r w:rsidR="007A091B">
        <w:rPr>
          <w:rFonts w:cs="Times New Roman"/>
          <w:szCs w:val="24"/>
        </w:rPr>
        <w:t>):</w:t>
      </w:r>
      <w:r w:rsidR="00E30A6A">
        <w:rPr>
          <w:rFonts w:cs="Times New Roman"/>
          <w:szCs w:val="24"/>
        </w:rPr>
        <w:t xml:space="preserve"> </w:t>
      </w:r>
    </w:p>
    <w:p w:rsidR="007A091B" w:rsidRPr="007A091B" w:rsidRDefault="0070266D" w:rsidP="007A091B">
      <w:pPr>
        <w:autoSpaceDE w:val="0"/>
        <w:autoSpaceDN w:val="0"/>
        <w:adjustRightInd w:val="0"/>
        <w:spacing w:after="0"/>
        <w:jc w:val="center"/>
        <w:rPr>
          <w:rFonts w:cs="Times New Roman"/>
          <w:szCs w:val="24"/>
        </w:rPr>
      </w:pPr>
      <w:r>
        <w:rPr>
          <w:rFonts w:cs="Times New Roman"/>
          <w:szCs w:val="24"/>
        </w:rPr>
        <w:t>LiCoO</w:t>
      </w:r>
      <w:r>
        <w:rPr>
          <w:rFonts w:cs="Times New Roman"/>
          <w:szCs w:val="24"/>
          <w:vertAlign w:val="subscript"/>
        </w:rPr>
        <w:t xml:space="preserve">2 </w:t>
      </w:r>
      <w:r>
        <w:rPr>
          <w:rFonts w:cs="Times New Roman"/>
          <w:szCs w:val="24"/>
        </w:rPr>
        <w:t>→</w:t>
      </w:r>
      <w:r w:rsidR="00E30A6A">
        <w:rPr>
          <w:rFonts w:cs="Times New Roman"/>
          <w:szCs w:val="24"/>
        </w:rPr>
        <w:t xml:space="preserve"> Li</w:t>
      </w:r>
      <w:r w:rsidR="00E30A6A">
        <w:rPr>
          <w:rFonts w:cs="Times New Roman"/>
          <w:szCs w:val="24"/>
          <w:vertAlign w:val="subscript"/>
        </w:rPr>
        <w:t>1-x</w:t>
      </w:r>
      <w:r w:rsidR="00E30A6A">
        <w:rPr>
          <w:rFonts w:cs="Times New Roman"/>
          <w:szCs w:val="24"/>
        </w:rPr>
        <w:t>CoO</w:t>
      </w:r>
      <w:r w:rsidR="00E30A6A">
        <w:rPr>
          <w:rFonts w:cs="Times New Roman"/>
          <w:szCs w:val="24"/>
          <w:vertAlign w:val="subscript"/>
        </w:rPr>
        <w:t xml:space="preserve">2 </w:t>
      </w:r>
      <w:r w:rsidR="00E30A6A">
        <w:rPr>
          <w:rFonts w:cs="Times New Roman"/>
          <w:szCs w:val="24"/>
        </w:rPr>
        <w:t>+ xLi</w:t>
      </w:r>
      <w:r w:rsidR="00E30A6A">
        <w:rPr>
          <w:rFonts w:cs="Times New Roman"/>
          <w:szCs w:val="24"/>
          <w:vertAlign w:val="superscript"/>
        </w:rPr>
        <w:t>+</w:t>
      </w:r>
      <w:r w:rsidR="00E30A6A">
        <w:rPr>
          <w:rFonts w:cs="Times New Roman"/>
          <w:szCs w:val="24"/>
        </w:rPr>
        <w:t xml:space="preserve"> +xe</w:t>
      </w:r>
      <w:r w:rsidR="00E30A6A">
        <w:rPr>
          <w:rFonts w:cs="Times New Roman"/>
          <w:szCs w:val="24"/>
          <w:vertAlign w:val="superscript"/>
        </w:rPr>
        <w:t>-</w:t>
      </w:r>
      <w:r w:rsidR="007A091B">
        <w:rPr>
          <w:rFonts w:cs="Times New Roman"/>
          <w:szCs w:val="24"/>
        </w:rPr>
        <w:t xml:space="preserve">      (1)</w:t>
      </w:r>
    </w:p>
    <w:p w:rsidR="007A091B" w:rsidRDefault="000D0759" w:rsidP="005C7DDE">
      <w:pPr>
        <w:autoSpaceDE w:val="0"/>
        <w:autoSpaceDN w:val="0"/>
        <w:adjustRightInd w:val="0"/>
        <w:spacing w:after="0"/>
        <w:rPr>
          <w:rFonts w:cs="Times New Roman"/>
          <w:szCs w:val="24"/>
        </w:rPr>
      </w:pPr>
      <w:r>
        <w:rPr>
          <w:rFonts w:cs="Times New Roman"/>
          <w:szCs w:val="24"/>
        </w:rPr>
        <w:t xml:space="preserve">mille käigus </w:t>
      </w:r>
      <w:r w:rsidR="00114817">
        <w:rPr>
          <w:rFonts w:cs="Times New Roman"/>
          <w:szCs w:val="24"/>
        </w:rPr>
        <w:t xml:space="preserve">vabanenud </w:t>
      </w:r>
      <w:r w:rsidR="00A2178D">
        <w:rPr>
          <w:rFonts w:cs="Times New Roman"/>
          <w:szCs w:val="24"/>
        </w:rPr>
        <w:t xml:space="preserve">elektronid liiguvad välisesse vooluringi ning </w:t>
      </w:r>
      <w:r w:rsidR="00114817">
        <w:rPr>
          <w:rFonts w:cs="Times New Roman"/>
          <w:szCs w:val="24"/>
        </w:rPr>
        <w:t>Li-ioonid läbi elektro</w:t>
      </w:r>
      <w:r w:rsidR="00A2178D">
        <w:rPr>
          <w:rFonts w:cs="Times New Roman"/>
          <w:szCs w:val="24"/>
        </w:rPr>
        <w:t>lüüdi negatiivsele elektroodile (anoodile). Anoodil reduktsiooni käigus</w:t>
      </w:r>
      <w:r w:rsidR="007A091B">
        <w:rPr>
          <w:rFonts w:cs="Times New Roman"/>
          <w:szCs w:val="24"/>
        </w:rPr>
        <w:t>:</w:t>
      </w:r>
    </w:p>
    <w:p w:rsidR="007A091B" w:rsidRPr="007A091B" w:rsidRDefault="00693C71" w:rsidP="007A091B">
      <w:pPr>
        <w:autoSpaceDE w:val="0"/>
        <w:autoSpaceDN w:val="0"/>
        <w:adjustRightInd w:val="0"/>
        <w:spacing w:after="0"/>
        <w:jc w:val="center"/>
        <w:rPr>
          <w:rFonts w:cs="Times New Roman"/>
          <w:szCs w:val="24"/>
        </w:rPr>
      </w:pPr>
      <w:r>
        <w:rPr>
          <w:rFonts w:cs="Times New Roman"/>
          <w:szCs w:val="24"/>
        </w:rPr>
        <w:t>6</w:t>
      </w:r>
      <w:r w:rsidR="00E30A6A">
        <w:rPr>
          <w:rFonts w:cs="Times New Roman"/>
          <w:szCs w:val="24"/>
        </w:rPr>
        <w:t>C + xLi</w:t>
      </w:r>
      <w:r w:rsidR="00E30A6A">
        <w:rPr>
          <w:rFonts w:cs="Times New Roman"/>
          <w:szCs w:val="24"/>
          <w:vertAlign w:val="superscript"/>
        </w:rPr>
        <w:t>+</w:t>
      </w:r>
      <w:r w:rsidR="00E30A6A">
        <w:rPr>
          <w:rFonts w:cs="Times New Roman"/>
          <w:szCs w:val="24"/>
        </w:rPr>
        <w:t xml:space="preserve"> + xe</w:t>
      </w:r>
      <w:r w:rsidR="00E30A6A">
        <w:rPr>
          <w:rFonts w:cs="Times New Roman"/>
          <w:szCs w:val="24"/>
          <w:vertAlign w:val="superscript"/>
        </w:rPr>
        <w:t>-</w:t>
      </w:r>
      <w:r w:rsidR="00E30A6A">
        <w:rPr>
          <w:rFonts w:cs="Times New Roman"/>
          <w:szCs w:val="24"/>
        </w:rPr>
        <w:t xml:space="preserve"> → Li</w:t>
      </w:r>
      <w:r w:rsidR="00E30A6A">
        <w:rPr>
          <w:rFonts w:cs="Times New Roman"/>
          <w:szCs w:val="24"/>
          <w:vertAlign w:val="subscript"/>
        </w:rPr>
        <w:t>x</w:t>
      </w:r>
      <w:r>
        <w:rPr>
          <w:rFonts w:cs="Times New Roman"/>
          <w:szCs w:val="24"/>
        </w:rPr>
        <w:t>C</w:t>
      </w:r>
      <w:r>
        <w:rPr>
          <w:rFonts w:cs="Times New Roman"/>
          <w:szCs w:val="24"/>
          <w:vertAlign w:val="subscript"/>
        </w:rPr>
        <w:t>6</w:t>
      </w:r>
      <w:r w:rsidR="007A091B">
        <w:rPr>
          <w:rFonts w:cs="Times New Roman"/>
          <w:szCs w:val="24"/>
        </w:rPr>
        <w:t xml:space="preserve">      </w:t>
      </w:r>
      <w:r w:rsidR="00BD4E06">
        <w:rPr>
          <w:rFonts w:cs="Times New Roman"/>
          <w:szCs w:val="24"/>
        </w:rPr>
        <w:t xml:space="preserve">       </w:t>
      </w:r>
      <w:r w:rsidR="007A091B">
        <w:rPr>
          <w:rFonts w:cs="Times New Roman"/>
          <w:szCs w:val="24"/>
        </w:rPr>
        <w:t xml:space="preserve">    (2)</w:t>
      </w:r>
    </w:p>
    <w:p w:rsidR="007A091B" w:rsidRDefault="00A2178D" w:rsidP="005C7DDE">
      <w:pPr>
        <w:autoSpaceDE w:val="0"/>
        <w:autoSpaceDN w:val="0"/>
        <w:adjustRightInd w:val="0"/>
        <w:spacing w:after="0"/>
        <w:rPr>
          <w:rFonts w:cs="Times New Roman"/>
          <w:szCs w:val="24"/>
        </w:rPr>
      </w:pPr>
      <w:r>
        <w:rPr>
          <w:rFonts w:cs="Times New Roman"/>
          <w:szCs w:val="24"/>
        </w:rPr>
        <w:t xml:space="preserve"> reageerivad </w:t>
      </w:r>
      <w:r w:rsidR="00E30A6A">
        <w:rPr>
          <w:rFonts w:cs="Times New Roman"/>
          <w:szCs w:val="24"/>
        </w:rPr>
        <w:t>Li-ioonid</w:t>
      </w:r>
      <w:r>
        <w:rPr>
          <w:rFonts w:cs="Times New Roman"/>
          <w:szCs w:val="24"/>
        </w:rPr>
        <w:t xml:space="preserve"> anoodi mater</w:t>
      </w:r>
      <w:r w:rsidR="00EC1635">
        <w:rPr>
          <w:rFonts w:cs="Times New Roman"/>
          <w:szCs w:val="24"/>
        </w:rPr>
        <w:t>j</w:t>
      </w:r>
      <w:r>
        <w:rPr>
          <w:rFonts w:cs="Times New Roman"/>
          <w:szCs w:val="24"/>
        </w:rPr>
        <w:t>ali ja saabunud elektroniga</w:t>
      </w:r>
      <w:r w:rsidR="00B257DC">
        <w:rPr>
          <w:rFonts w:cs="Times New Roman"/>
          <w:szCs w:val="24"/>
        </w:rPr>
        <w:t>.</w:t>
      </w:r>
      <w:r>
        <w:rPr>
          <w:rFonts w:cs="Times New Roman"/>
          <w:szCs w:val="24"/>
        </w:rPr>
        <w:t xml:space="preserve"> </w:t>
      </w:r>
      <w:r w:rsidR="00114817">
        <w:rPr>
          <w:rFonts w:cs="Times New Roman"/>
          <w:szCs w:val="24"/>
        </w:rPr>
        <w:t xml:space="preserve">Tühjenemisel toimuvad vastupidised reaktsioonid: </w:t>
      </w:r>
      <w:r>
        <w:rPr>
          <w:rFonts w:cs="Times New Roman"/>
          <w:szCs w:val="24"/>
        </w:rPr>
        <w:t>anoodil</w:t>
      </w:r>
      <w:r w:rsidR="00114817">
        <w:rPr>
          <w:rFonts w:cs="Times New Roman"/>
          <w:szCs w:val="24"/>
        </w:rPr>
        <w:t xml:space="preserve"> toimunud reakt</w:t>
      </w:r>
      <w:r w:rsidR="009D56BC">
        <w:rPr>
          <w:rFonts w:cs="Times New Roman"/>
          <w:szCs w:val="24"/>
        </w:rPr>
        <w:t>siooni</w:t>
      </w:r>
      <w:r w:rsidR="00E30A6A">
        <w:rPr>
          <w:rFonts w:cs="Times New Roman"/>
          <w:szCs w:val="24"/>
        </w:rPr>
        <w:t xml:space="preserve"> (oksüdatsioon</w:t>
      </w:r>
      <w:r w:rsidR="007A091B">
        <w:rPr>
          <w:rFonts w:cs="Times New Roman"/>
          <w:szCs w:val="24"/>
        </w:rPr>
        <w:t>):</w:t>
      </w:r>
    </w:p>
    <w:p w:rsidR="007A091B" w:rsidRDefault="00861AF5" w:rsidP="007A091B">
      <w:pPr>
        <w:autoSpaceDE w:val="0"/>
        <w:autoSpaceDN w:val="0"/>
        <w:adjustRightInd w:val="0"/>
        <w:spacing w:after="0"/>
        <w:jc w:val="center"/>
        <w:rPr>
          <w:rFonts w:cs="Times New Roman"/>
          <w:szCs w:val="24"/>
        </w:rPr>
      </w:pPr>
      <w:r>
        <w:rPr>
          <w:rFonts w:cs="Times New Roman"/>
          <w:szCs w:val="24"/>
        </w:rPr>
        <w:t>Li</w:t>
      </w:r>
      <w:r>
        <w:rPr>
          <w:rFonts w:cs="Times New Roman"/>
          <w:szCs w:val="24"/>
          <w:vertAlign w:val="subscript"/>
        </w:rPr>
        <w:t>x</w:t>
      </w:r>
      <w:r w:rsidR="00FC2A66">
        <w:rPr>
          <w:rFonts w:cs="Times New Roman"/>
          <w:szCs w:val="24"/>
        </w:rPr>
        <w:t>C</w:t>
      </w:r>
      <w:r w:rsidR="00FC2A66">
        <w:rPr>
          <w:rFonts w:cs="Times New Roman"/>
          <w:szCs w:val="24"/>
          <w:vertAlign w:val="subscript"/>
        </w:rPr>
        <w:t xml:space="preserve">6 </w:t>
      </w:r>
      <w:r>
        <w:rPr>
          <w:rFonts w:cs="Times New Roman"/>
          <w:szCs w:val="24"/>
        </w:rPr>
        <w:t xml:space="preserve">→ </w:t>
      </w:r>
      <w:r w:rsidR="00693C71">
        <w:rPr>
          <w:rFonts w:cs="Times New Roman"/>
          <w:szCs w:val="24"/>
        </w:rPr>
        <w:t>6</w:t>
      </w:r>
      <w:r>
        <w:rPr>
          <w:rFonts w:cs="Times New Roman"/>
          <w:szCs w:val="24"/>
        </w:rPr>
        <w:t>C + xLi</w:t>
      </w:r>
      <w:r>
        <w:rPr>
          <w:rFonts w:cs="Times New Roman"/>
          <w:szCs w:val="24"/>
          <w:vertAlign w:val="superscript"/>
        </w:rPr>
        <w:t>+</w:t>
      </w:r>
      <w:r>
        <w:rPr>
          <w:rFonts w:cs="Times New Roman"/>
          <w:szCs w:val="24"/>
        </w:rPr>
        <w:t xml:space="preserve"> + xe</w:t>
      </w:r>
      <w:r>
        <w:rPr>
          <w:rFonts w:cs="Times New Roman"/>
          <w:szCs w:val="24"/>
          <w:vertAlign w:val="superscript"/>
        </w:rPr>
        <w:t>-</w:t>
      </w:r>
      <w:r w:rsidR="007A091B">
        <w:rPr>
          <w:rFonts w:cs="Times New Roman"/>
          <w:szCs w:val="24"/>
        </w:rPr>
        <w:t xml:space="preserve">    </w:t>
      </w:r>
      <w:r w:rsidR="00BD4E06">
        <w:rPr>
          <w:rFonts w:cs="Times New Roman"/>
          <w:szCs w:val="24"/>
        </w:rPr>
        <w:t xml:space="preserve">          </w:t>
      </w:r>
      <w:r w:rsidR="007A091B">
        <w:rPr>
          <w:rFonts w:cs="Times New Roman"/>
          <w:szCs w:val="24"/>
        </w:rPr>
        <w:t xml:space="preserve">    (3)</w:t>
      </w:r>
    </w:p>
    <w:p w:rsidR="007A091B" w:rsidRDefault="009D56BC" w:rsidP="005C7DDE">
      <w:pPr>
        <w:autoSpaceDE w:val="0"/>
        <w:autoSpaceDN w:val="0"/>
        <w:adjustRightInd w:val="0"/>
        <w:spacing w:after="0"/>
        <w:rPr>
          <w:rFonts w:cs="Times New Roman"/>
          <w:szCs w:val="24"/>
        </w:rPr>
      </w:pPr>
      <w:r>
        <w:rPr>
          <w:rFonts w:cs="Times New Roman"/>
          <w:szCs w:val="24"/>
        </w:rPr>
        <w:t>käigus vabanenud elektro</w:t>
      </w:r>
      <w:r w:rsidR="00114817">
        <w:rPr>
          <w:rFonts w:cs="Times New Roman"/>
          <w:szCs w:val="24"/>
        </w:rPr>
        <w:t>ni</w:t>
      </w:r>
      <w:r>
        <w:rPr>
          <w:rFonts w:cs="Times New Roman"/>
          <w:szCs w:val="24"/>
        </w:rPr>
        <w:t>d liiguvad välisesse vooluringi ja Li-ioonid läbi elektrolüüdi</w:t>
      </w:r>
      <w:r w:rsidR="000D0759">
        <w:rPr>
          <w:rFonts w:cs="Times New Roman"/>
          <w:szCs w:val="24"/>
        </w:rPr>
        <w:t xml:space="preserve"> katoodi</w:t>
      </w:r>
      <w:r>
        <w:rPr>
          <w:rFonts w:cs="Times New Roman"/>
          <w:szCs w:val="24"/>
        </w:rPr>
        <w:t xml:space="preserve">, </w:t>
      </w:r>
      <w:r w:rsidR="00EE5ECC">
        <w:rPr>
          <w:rFonts w:cs="Times New Roman"/>
          <w:szCs w:val="24"/>
        </w:rPr>
        <w:t>ku</w:t>
      </w:r>
      <w:r w:rsidR="00534AC2">
        <w:rPr>
          <w:rFonts w:cs="Times New Roman"/>
          <w:szCs w:val="24"/>
        </w:rPr>
        <w:t xml:space="preserve">s toimub </w:t>
      </w:r>
      <w:r w:rsidR="00EE5ECC">
        <w:rPr>
          <w:rFonts w:cs="Times New Roman"/>
          <w:szCs w:val="24"/>
        </w:rPr>
        <w:t>reduktsioon</w:t>
      </w:r>
      <w:r w:rsidR="00B257DC" w:rsidRPr="00B257DC">
        <w:rPr>
          <w:rFonts w:cs="Times New Roman"/>
          <w:szCs w:val="24"/>
        </w:rPr>
        <w:t xml:space="preserve"> </w:t>
      </w:r>
      <w:sdt>
        <w:sdtPr>
          <w:rPr>
            <w:rFonts w:cs="Times New Roman"/>
            <w:szCs w:val="24"/>
          </w:rPr>
          <w:id w:val="15319282"/>
          <w:citation/>
        </w:sdtPr>
        <w:sdtContent>
          <w:r w:rsidR="00B23348">
            <w:rPr>
              <w:rFonts w:cs="Times New Roman"/>
              <w:szCs w:val="24"/>
            </w:rPr>
            <w:fldChar w:fldCharType="begin"/>
          </w:r>
          <w:r w:rsidR="00B257DC">
            <w:rPr>
              <w:rFonts w:cs="Times New Roman"/>
              <w:szCs w:val="24"/>
            </w:rPr>
            <w:instrText xml:space="preserve"> CITATION Mah11 \l 1061 </w:instrText>
          </w:r>
          <w:r w:rsidR="00B23348">
            <w:rPr>
              <w:rFonts w:cs="Times New Roman"/>
              <w:szCs w:val="24"/>
            </w:rPr>
            <w:fldChar w:fldCharType="separate"/>
          </w:r>
          <w:r w:rsidR="005B76C8" w:rsidRPr="005B76C8">
            <w:rPr>
              <w:rFonts w:cs="Times New Roman"/>
              <w:noProof/>
              <w:szCs w:val="24"/>
            </w:rPr>
            <w:t>[</w:t>
          </w:r>
          <w:hyperlink w:anchor="Mah11" w:history="1">
            <w:r w:rsidR="005B76C8" w:rsidRPr="005B76C8">
              <w:rPr>
                <w:rStyle w:val="Heading2Char"/>
                <w:rFonts w:eastAsiaTheme="minorHAnsi" w:cs="Times New Roman"/>
                <w:noProof/>
                <w:sz w:val="24"/>
                <w:szCs w:val="24"/>
              </w:rPr>
              <w:t>4</w:t>
            </w:r>
          </w:hyperlink>
          <w:r w:rsidR="005B76C8" w:rsidRPr="005B76C8">
            <w:rPr>
              <w:rFonts w:cs="Times New Roman"/>
              <w:noProof/>
              <w:szCs w:val="24"/>
            </w:rPr>
            <w:t>]</w:t>
          </w:r>
          <w:r w:rsidR="00B23348">
            <w:rPr>
              <w:rFonts w:cs="Times New Roman"/>
              <w:szCs w:val="24"/>
            </w:rPr>
            <w:fldChar w:fldCharType="end"/>
          </w:r>
        </w:sdtContent>
      </w:sdt>
      <w:r w:rsidR="007A091B">
        <w:rPr>
          <w:rFonts w:cs="Times New Roman"/>
          <w:szCs w:val="24"/>
        </w:rPr>
        <w:t>:</w:t>
      </w:r>
    </w:p>
    <w:p w:rsidR="00114817" w:rsidRDefault="00861AF5" w:rsidP="007A091B">
      <w:pPr>
        <w:autoSpaceDE w:val="0"/>
        <w:autoSpaceDN w:val="0"/>
        <w:adjustRightInd w:val="0"/>
        <w:spacing w:after="0"/>
        <w:jc w:val="center"/>
        <w:rPr>
          <w:rFonts w:cs="Times New Roman"/>
          <w:szCs w:val="24"/>
        </w:rPr>
      </w:pPr>
      <w:r>
        <w:rPr>
          <w:rFonts w:cs="Times New Roman"/>
          <w:szCs w:val="24"/>
        </w:rPr>
        <w:t>Li</w:t>
      </w:r>
      <w:r>
        <w:rPr>
          <w:rFonts w:cs="Times New Roman"/>
          <w:szCs w:val="24"/>
          <w:vertAlign w:val="subscript"/>
        </w:rPr>
        <w:t>1-x</w:t>
      </w:r>
      <w:r>
        <w:rPr>
          <w:rFonts w:cs="Times New Roman"/>
          <w:szCs w:val="24"/>
        </w:rPr>
        <w:t>CoO</w:t>
      </w:r>
      <w:r>
        <w:rPr>
          <w:rFonts w:cs="Times New Roman"/>
          <w:szCs w:val="24"/>
          <w:vertAlign w:val="subscript"/>
        </w:rPr>
        <w:t xml:space="preserve">2 </w:t>
      </w:r>
      <w:r>
        <w:rPr>
          <w:rFonts w:cs="Times New Roman"/>
          <w:szCs w:val="24"/>
        </w:rPr>
        <w:t>+ xLi</w:t>
      </w:r>
      <w:r>
        <w:rPr>
          <w:rFonts w:cs="Times New Roman"/>
          <w:szCs w:val="24"/>
          <w:vertAlign w:val="superscript"/>
        </w:rPr>
        <w:t>+</w:t>
      </w:r>
      <w:r>
        <w:rPr>
          <w:rFonts w:cs="Times New Roman"/>
          <w:szCs w:val="24"/>
        </w:rPr>
        <w:t xml:space="preserve"> +xe</w:t>
      </w:r>
      <w:r>
        <w:rPr>
          <w:rFonts w:cs="Times New Roman"/>
          <w:szCs w:val="24"/>
          <w:vertAlign w:val="superscript"/>
        </w:rPr>
        <w:t>-</w:t>
      </w:r>
      <w:r>
        <w:rPr>
          <w:rFonts w:cs="Times New Roman"/>
          <w:szCs w:val="24"/>
        </w:rPr>
        <w:t xml:space="preserve"> → LiCoO</w:t>
      </w:r>
      <w:r>
        <w:rPr>
          <w:rFonts w:cs="Times New Roman"/>
          <w:szCs w:val="24"/>
          <w:vertAlign w:val="subscript"/>
        </w:rPr>
        <w:t>2</w:t>
      </w:r>
      <w:r w:rsidR="007A091B">
        <w:rPr>
          <w:rFonts w:cs="Times New Roman"/>
          <w:szCs w:val="24"/>
        </w:rPr>
        <w:t xml:space="preserve">  </w:t>
      </w:r>
      <w:r w:rsidR="00BD4E06">
        <w:rPr>
          <w:rFonts w:cs="Times New Roman"/>
          <w:szCs w:val="24"/>
        </w:rPr>
        <w:t xml:space="preserve">  </w:t>
      </w:r>
      <w:r w:rsidR="007A091B">
        <w:rPr>
          <w:rFonts w:cs="Times New Roman"/>
          <w:szCs w:val="24"/>
        </w:rPr>
        <w:t xml:space="preserve">  (4)</w:t>
      </w:r>
    </w:p>
    <w:p w:rsidR="00387A43" w:rsidRDefault="00387A43" w:rsidP="005C7DDE">
      <w:pPr>
        <w:autoSpaceDE w:val="0"/>
        <w:autoSpaceDN w:val="0"/>
        <w:adjustRightInd w:val="0"/>
        <w:spacing w:after="0"/>
        <w:rPr>
          <w:rFonts w:cs="Times New Roman"/>
          <w:szCs w:val="24"/>
        </w:rPr>
      </w:pPr>
    </w:p>
    <w:p w:rsidR="00C92CD4" w:rsidRDefault="00C92CD4" w:rsidP="005C7DDE">
      <w:pPr>
        <w:autoSpaceDE w:val="0"/>
        <w:autoSpaceDN w:val="0"/>
        <w:adjustRightInd w:val="0"/>
        <w:spacing w:after="0"/>
        <w:rPr>
          <w:rFonts w:cs="Times New Roman"/>
          <w:szCs w:val="24"/>
        </w:rPr>
      </w:pPr>
    </w:p>
    <w:p w:rsidR="00973BBC" w:rsidRPr="00CF7380" w:rsidRDefault="00994DA4" w:rsidP="00C85228">
      <w:pPr>
        <w:autoSpaceDE w:val="0"/>
        <w:autoSpaceDN w:val="0"/>
        <w:adjustRightInd w:val="0"/>
        <w:spacing w:after="0"/>
        <w:jc w:val="center"/>
        <w:rPr>
          <w:rFonts w:cs="Times New Roman"/>
          <w:color w:val="000000"/>
          <w:szCs w:val="24"/>
        </w:rPr>
      </w:pPr>
      <w:r>
        <w:rPr>
          <w:rFonts w:cs="Times New Roman"/>
          <w:noProof/>
          <w:color w:val="000000"/>
          <w:szCs w:val="24"/>
          <w:lang w:eastAsia="et-EE"/>
        </w:rPr>
        <w:drawing>
          <wp:inline distT="0" distB="0" distL="0" distR="0">
            <wp:extent cx="5392955" cy="3778370"/>
            <wp:effectExtent l="19050" t="0" r="0" b="0"/>
            <wp:docPr id="31" name="Picture 1" descr="C:\Documents and Settings\IBM\My Documents\KOOL\MAGISTRITÖÖ\tööfailid\pildid ja tabelid\akutöö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BM\My Documents\KOOL\MAGISTRITÖÖ\tööfailid\pildid ja tabelid\akutöösse.jpg"/>
                    <pic:cNvPicPr>
                      <a:picLocks noChangeAspect="1" noChangeArrowheads="1"/>
                    </pic:cNvPicPr>
                  </pic:nvPicPr>
                  <pic:blipFill>
                    <a:blip r:embed="rId8"/>
                    <a:srcRect/>
                    <a:stretch>
                      <a:fillRect/>
                    </a:stretch>
                  </pic:blipFill>
                  <pic:spPr bwMode="auto">
                    <a:xfrm>
                      <a:off x="0" y="0"/>
                      <a:ext cx="5394356" cy="3779352"/>
                    </a:xfrm>
                    <a:prstGeom prst="rect">
                      <a:avLst/>
                    </a:prstGeom>
                    <a:noFill/>
                    <a:ln w="9525">
                      <a:noFill/>
                      <a:miter lim="800000"/>
                      <a:headEnd/>
                      <a:tailEnd/>
                    </a:ln>
                  </pic:spPr>
                </pic:pic>
              </a:graphicData>
            </a:graphic>
          </wp:inline>
        </w:drawing>
      </w:r>
    </w:p>
    <w:p w:rsidR="00387A43" w:rsidRPr="00CF7380" w:rsidRDefault="00973BBC" w:rsidP="00973BBC">
      <w:pPr>
        <w:rPr>
          <w:rFonts w:cs="Times New Roman"/>
          <w:szCs w:val="24"/>
        </w:rPr>
      </w:pPr>
      <w:r w:rsidRPr="00CF7380">
        <w:rPr>
          <w:rFonts w:cs="Times New Roman"/>
          <w:b/>
          <w:szCs w:val="24"/>
        </w:rPr>
        <w:lastRenderedPageBreak/>
        <w:t>Joonis 1:</w:t>
      </w:r>
      <w:r w:rsidRPr="00CF7380">
        <w:rPr>
          <w:rFonts w:cs="Times New Roman"/>
          <w:szCs w:val="24"/>
        </w:rPr>
        <w:t xml:space="preserve"> Liitium</w:t>
      </w:r>
      <w:r w:rsidR="00C85228">
        <w:rPr>
          <w:rFonts w:cs="Times New Roman"/>
          <w:szCs w:val="24"/>
        </w:rPr>
        <w:t>ioon</w:t>
      </w:r>
      <w:r w:rsidRPr="00CF7380">
        <w:rPr>
          <w:rFonts w:cs="Times New Roman"/>
          <w:szCs w:val="24"/>
        </w:rPr>
        <w:t>-polümeeraku põhi</w:t>
      </w:r>
      <w:r w:rsidR="0057149A">
        <w:rPr>
          <w:rFonts w:cs="Times New Roman"/>
          <w:szCs w:val="24"/>
        </w:rPr>
        <w:t>protsessid</w:t>
      </w:r>
      <w:r w:rsidRPr="00CF7380">
        <w:rPr>
          <w:rFonts w:cs="Times New Roman"/>
          <w:szCs w:val="24"/>
        </w:rPr>
        <w:t>.</w:t>
      </w:r>
    </w:p>
    <w:p w:rsidR="00387A43" w:rsidRDefault="00863F00" w:rsidP="00DA093D">
      <w:pPr>
        <w:autoSpaceDE w:val="0"/>
        <w:autoSpaceDN w:val="0"/>
        <w:adjustRightInd w:val="0"/>
        <w:spacing w:after="0"/>
        <w:rPr>
          <w:rFonts w:cs="Times New Roman"/>
          <w:color w:val="000000"/>
          <w:szCs w:val="24"/>
        </w:rPr>
      </w:pPr>
      <w:r>
        <w:rPr>
          <w:rFonts w:cs="Times New Roman"/>
          <w:color w:val="000000"/>
          <w:szCs w:val="24"/>
        </w:rPr>
        <w:t>Aku mahtuvus on suuresti ära määratud sellega, kui palju suudavad elektroodid Li-ioone mahutada. Aku poolt välja antava voolu aga määravad ära elektroodireaktsioonide kiirused ning Li-ioonide liikumiskiirus elektrolüüdis ehk siis elektroode eraldavas polümeeris</w:t>
      </w:r>
      <w:r w:rsidR="009017DB">
        <w:rPr>
          <w:rFonts w:cs="Times New Roman"/>
          <w:color w:val="000000"/>
          <w:szCs w:val="24"/>
        </w:rPr>
        <w:t xml:space="preserve"> </w:t>
      </w:r>
      <w:sdt>
        <w:sdtPr>
          <w:rPr>
            <w:rFonts w:cs="Times New Roman"/>
            <w:color w:val="000000"/>
            <w:szCs w:val="24"/>
          </w:rPr>
          <w:id w:val="15319287"/>
          <w:citation/>
        </w:sdtPr>
        <w:sdtContent>
          <w:r w:rsidR="00B23348">
            <w:rPr>
              <w:rFonts w:cs="Times New Roman"/>
              <w:color w:val="000000"/>
              <w:szCs w:val="24"/>
            </w:rPr>
            <w:fldChar w:fldCharType="begin"/>
          </w:r>
          <w:r w:rsidR="009017DB">
            <w:rPr>
              <w:rFonts w:cs="Times New Roman"/>
              <w:color w:val="000000"/>
              <w:szCs w:val="24"/>
            </w:rPr>
            <w:instrText xml:space="preserve"> CITATION Aih \l 1061 </w:instrText>
          </w:r>
          <w:r w:rsidR="00B23348">
            <w:rPr>
              <w:rFonts w:cs="Times New Roman"/>
              <w:color w:val="000000"/>
              <w:szCs w:val="24"/>
            </w:rPr>
            <w:fldChar w:fldCharType="separate"/>
          </w:r>
          <w:r w:rsidR="005B76C8" w:rsidRPr="005B76C8">
            <w:rPr>
              <w:rFonts w:cs="Times New Roman"/>
              <w:noProof/>
              <w:color w:val="000000"/>
              <w:szCs w:val="24"/>
            </w:rPr>
            <w:t>[</w:t>
          </w:r>
          <w:hyperlink w:anchor="Aih" w:history="1">
            <w:r w:rsidR="005B76C8" w:rsidRPr="005B76C8">
              <w:rPr>
                <w:rStyle w:val="Heading2Char"/>
                <w:rFonts w:eastAsiaTheme="minorHAnsi" w:cs="Times New Roman"/>
                <w:noProof/>
                <w:color w:val="000000"/>
                <w:sz w:val="24"/>
                <w:szCs w:val="24"/>
              </w:rPr>
              <w:t>5</w:t>
            </w:r>
          </w:hyperlink>
          <w:r w:rsidR="005B76C8" w:rsidRPr="005B76C8">
            <w:rPr>
              <w:rFonts w:cs="Times New Roman"/>
              <w:noProof/>
              <w:color w:val="000000"/>
              <w:szCs w:val="24"/>
            </w:rPr>
            <w:t>]</w:t>
          </w:r>
          <w:r w:rsidR="00B23348">
            <w:rPr>
              <w:rFonts w:cs="Times New Roman"/>
              <w:color w:val="000000"/>
              <w:szCs w:val="24"/>
            </w:rPr>
            <w:fldChar w:fldCharType="end"/>
          </w:r>
        </w:sdtContent>
      </w:sdt>
      <w:r>
        <w:rPr>
          <w:rFonts w:cs="Times New Roman"/>
          <w:color w:val="000000"/>
          <w:szCs w:val="24"/>
        </w:rPr>
        <w:t>. Oluline on Li-ioonide</w:t>
      </w:r>
      <w:r w:rsidR="0036544A">
        <w:rPr>
          <w:rFonts w:cs="Times New Roman"/>
          <w:color w:val="000000"/>
          <w:szCs w:val="24"/>
        </w:rPr>
        <w:t xml:space="preserve"> aheldifusiooni kiirus, liikumise mehhanism ümbritseva polümeermaatriksis, liikumisviisi ja –kiiruse sõltuvus maatriksi ehitusest, ümbritsevast temperatuurist jt. parameetritest</w:t>
      </w:r>
      <w:sdt>
        <w:sdtPr>
          <w:rPr>
            <w:rFonts w:cs="Times New Roman"/>
            <w:color w:val="000000"/>
            <w:szCs w:val="24"/>
          </w:rPr>
          <w:id w:val="15319284"/>
          <w:citation/>
        </w:sdtPr>
        <w:sdtContent>
          <w:r w:rsidR="00B23348">
            <w:rPr>
              <w:rFonts w:cs="Times New Roman"/>
              <w:color w:val="000000"/>
              <w:szCs w:val="24"/>
            </w:rPr>
            <w:fldChar w:fldCharType="begin"/>
          </w:r>
          <w:r w:rsidR="00B75B3F">
            <w:rPr>
              <w:rFonts w:cs="Times New Roman"/>
              <w:color w:val="000000"/>
              <w:szCs w:val="24"/>
            </w:rPr>
            <w:instrText xml:space="preserve"> CITATION M \l 1061  </w:instrText>
          </w:r>
          <w:r w:rsidR="00B23348">
            <w:rPr>
              <w:rFonts w:cs="Times New Roman"/>
              <w:color w:val="000000"/>
              <w:szCs w:val="24"/>
            </w:rPr>
            <w:fldChar w:fldCharType="separate"/>
          </w:r>
          <w:r w:rsidR="005B76C8">
            <w:rPr>
              <w:rFonts w:cs="Times New Roman"/>
              <w:noProof/>
              <w:color w:val="000000"/>
              <w:szCs w:val="24"/>
            </w:rPr>
            <w:t xml:space="preserve"> </w:t>
          </w:r>
          <w:r w:rsidR="005B76C8" w:rsidRPr="005B76C8">
            <w:rPr>
              <w:rFonts w:cs="Times New Roman"/>
              <w:noProof/>
              <w:color w:val="000000"/>
              <w:szCs w:val="24"/>
            </w:rPr>
            <w:t>[</w:t>
          </w:r>
          <w:hyperlink w:anchor="M" w:history="1">
            <w:r w:rsidR="005B76C8" w:rsidRPr="005B76C8">
              <w:rPr>
                <w:rStyle w:val="Heading2Char"/>
                <w:rFonts w:eastAsiaTheme="minorHAnsi" w:cs="Times New Roman"/>
                <w:noProof/>
                <w:color w:val="000000"/>
                <w:sz w:val="24"/>
                <w:szCs w:val="24"/>
              </w:rPr>
              <w:t>6</w:t>
            </w:r>
          </w:hyperlink>
          <w:r w:rsidR="005B76C8" w:rsidRPr="005B76C8">
            <w:rPr>
              <w:rFonts w:cs="Times New Roman"/>
              <w:noProof/>
              <w:color w:val="000000"/>
              <w:szCs w:val="24"/>
            </w:rPr>
            <w:t>]</w:t>
          </w:r>
          <w:r w:rsidR="00B23348">
            <w:rPr>
              <w:rFonts w:cs="Times New Roman"/>
              <w:color w:val="000000"/>
              <w:szCs w:val="24"/>
            </w:rPr>
            <w:fldChar w:fldCharType="end"/>
          </w:r>
        </w:sdtContent>
      </w:sdt>
      <w:r w:rsidR="0036544A">
        <w:rPr>
          <w:rFonts w:cs="Times New Roman"/>
          <w:color w:val="000000"/>
          <w:szCs w:val="24"/>
        </w:rPr>
        <w:t>. Samuti on oluline, kuidas ja millisel määral suudab polümeermaatriks sooli lahustada</w:t>
      </w:r>
      <w:r w:rsidR="00CA558D">
        <w:rPr>
          <w:rFonts w:cs="Times New Roman"/>
          <w:color w:val="000000"/>
          <w:szCs w:val="24"/>
        </w:rPr>
        <w:t xml:space="preserve"> ning</w:t>
      </w:r>
      <w:r w:rsidR="0036544A">
        <w:rPr>
          <w:rFonts w:cs="Times New Roman"/>
          <w:color w:val="000000"/>
          <w:szCs w:val="24"/>
        </w:rPr>
        <w:t xml:space="preserve"> milline on assotsiatsiooni ehk klasterdumismäär. Polümeermaatri</w:t>
      </w:r>
      <w:r w:rsidR="009D0247">
        <w:rPr>
          <w:rFonts w:cs="Times New Roman"/>
          <w:color w:val="000000"/>
          <w:szCs w:val="24"/>
        </w:rPr>
        <w:t xml:space="preserve">ksi puhul on oluline selle osade (segmentide) </w:t>
      </w:r>
      <w:r w:rsidR="0036544A">
        <w:rPr>
          <w:rFonts w:cs="Times New Roman"/>
          <w:color w:val="000000"/>
          <w:szCs w:val="24"/>
        </w:rPr>
        <w:t>liikuvus, kas</w:t>
      </w:r>
      <w:r w:rsidR="00CA558D">
        <w:rPr>
          <w:rFonts w:cs="Times New Roman"/>
          <w:color w:val="000000"/>
          <w:szCs w:val="24"/>
        </w:rPr>
        <w:t xml:space="preserve"> tekivad amorfsed, poolamorfsed või kristallilised struktuurid, millisel määral ja millistes piirkondades ning nende protsesside mõju soolaioonide liikuvusele</w:t>
      </w:r>
      <w:sdt>
        <w:sdtPr>
          <w:rPr>
            <w:rFonts w:cs="Times New Roman"/>
            <w:color w:val="000000"/>
            <w:szCs w:val="24"/>
          </w:rPr>
          <w:id w:val="15319286"/>
          <w:citation/>
        </w:sdtPr>
        <w:sdtContent>
          <w:r w:rsidR="00B23348">
            <w:rPr>
              <w:rFonts w:cs="Times New Roman"/>
              <w:color w:val="000000"/>
              <w:szCs w:val="24"/>
            </w:rPr>
            <w:fldChar w:fldCharType="begin"/>
          </w:r>
          <w:r w:rsidR="00B75B3F">
            <w:rPr>
              <w:rFonts w:cs="Times New Roman"/>
              <w:color w:val="000000"/>
              <w:szCs w:val="24"/>
            </w:rPr>
            <w:instrText xml:space="preserve"> CITATION U \l 1061  </w:instrText>
          </w:r>
          <w:r w:rsidR="00B23348">
            <w:rPr>
              <w:rFonts w:cs="Times New Roman"/>
              <w:color w:val="000000"/>
              <w:szCs w:val="24"/>
            </w:rPr>
            <w:fldChar w:fldCharType="separate"/>
          </w:r>
          <w:r w:rsidR="005B76C8">
            <w:rPr>
              <w:rFonts w:cs="Times New Roman"/>
              <w:noProof/>
              <w:color w:val="000000"/>
              <w:szCs w:val="24"/>
            </w:rPr>
            <w:t xml:space="preserve"> </w:t>
          </w:r>
          <w:r w:rsidR="005B76C8" w:rsidRPr="005B76C8">
            <w:rPr>
              <w:rFonts w:cs="Times New Roman"/>
              <w:noProof/>
              <w:color w:val="000000"/>
              <w:szCs w:val="24"/>
            </w:rPr>
            <w:t>[</w:t>
          </w:r>
          <w:hyperlink w:anchor="U" w:history="1">
            <w:r w:rsidR="005B76C8" w:rsidRPr="005B76C8">
              <w:rPr>
                <w:rStyle w:val="Heading2Char"/>
                <w:rFonts w:eastAsiaTheme="minorHAnsi" w:cs="Times New Roman"/>
                <w:noProof/>
                <w:color w:val="000000"/>
                <w:sz w:val="24"/>
                <w:szCs w:val="24"/>
              </w:rPr>
              <w:t>7</w:t>
            </w:r>
          </w:hyperlink>
          <w:r w:rsidR="005B76C8" w:rsidRPr="005B76C8">
            <w:rPr>
              <w:rFonts w:cs="Times New Roman"/>
              <w:noProof/>
              <w:color w:val="000000"/>
              <w:szCs w:val="24"/>
            </w:rPr>
            <w:t>]</w:t>
          </w:r>
          <w:r w:rsidR="00B23348">
            <w:rPr>
              <w:rFonts w:cs="Times New Roman"/>
              <w:color w:val="000000"/>
              <w:szCs w:val="24"/>
            </w:rPr>
            <w:fldChar w:fldCharType="end"/>
          </w:r>
        </w:sdtContent>
      </w:sdt>
      <w:r w:rsidR="00CA558D">
        <w:rPr>
          <w:rFonts w:cs="Times New Roman"/>
          <w:color w:val="000000"/>
          <w:szCs w:val="24"/>
        </w:rPr>
        <w:t>.</w:t>
      </w:r>
    </w:p>
    <w:p w:rsidR="00C92CD4" w:rsidRDefault="00C92CD4" w:rsidP="00DA093D">
      <w:pPr>
        <w:autoSpaceDE w:val="0"/>
        <w:autoSpaceDN w:val="0"/>
        <w:adjustRightInd w:val="0"/>
        <w:spacing w:after="0"/>
        <w:rPr>
          <w:rFonts w:cs="Times New Roman"/>
          <w:sz w:val="28"/>
          <w:szCs w:val="28"/>
        </w:rPr>
      </w:pPr>
    </w:p>
    <w:p w:rsidR="00973BBC" w:rsidRPr="00CF7380" w:rsidRDefault="0025142F" w:rsidP="00C92CD4">
      <w:pPr>
        <w:autoSpaceDE w:val="0"/>
        <w:autoSpaceDN w:val="0"/>
        <w:adjustRightInd w:val="0"/>
        <w:rPr>
          <w:rFonts w:ascii="AdvTT5235d5a9" w:hAnsi="AdvTT5235d5a9" w:cs="AdvTT5235d5a9"/>
          <w:color w:val="000000"/>
          <w:szCs w:val="24"/>
        </w:rPr>
      </w:pPr>
      <w:r>
        <w:rPr>
          <w:rFonts w:cs="Times New Roman"/>
          <w:sz w:val="28"/>
          <w:szCs w:val="28"/>
        </w:rPr>
        <w:t>1.2   Arvuti</w:t>
      </w:r>
      <w:r w:rsidR="00973BBC" w:rsidRPr="00CF7380">
        <w:rPr>
          <w:rFonts w:cs="Times New Roman"/>
          <w:sz w:val="28"/>
          <w:szCs w:val="28"/>
        </w:rPr>
        <w:t>eksperimendid</w:t>
      </w:r>
    </w:p>
    <w:p w:rsidR="00973BBC" w:rsidRDefault="00973BBC" w:rsidP="00C92CD4">
      <w:pPr>
        <w:autoSpaceDE w:val="0"/>
        <w:autoSpaceDN w:val="0"/>
        <w:adjustRightInd w:val="0"/>
        <w:spacing w:before="0"/>
        <w:rPr>
          <w:rFonts w:cs="Times New Roman"/>
          <w:color w:val="000000"/>
          <w:szCs w:val="24"/>
        </w:rPr>
      </w:pPr>
      <w:r w:rsidRPr="00CF7380">
        <w:rPr>
          <w:rFonts w:cs="Times New Roman"/>
          <w:color w:val="000000"/>
          <w:szCs w:val="24"/>
        </w:rPr>
        <w:t>Tänu arvut</w:t>
      </w:r>
      <w:r w:rsidR="004B06A1">
        <w:rPr>
          <w:rFonts w:cs="Times New Roman"/>
          <w:color w:val="000000"/>
          <w:szCs w:val="24"/>
        </w:rPr>
        <w:t>usvõimsuse suurenemisele</w:t>
      </w:r>
      <w:r w:rsidRPr="00CF7380">
        <w:rPr>
          <w:rFonts w:cs="Times New Roman"/>
          <w:color w:val="000000"/>
          <w:szCs w:val="24"/>
        </w:rPr>
        <w:t xml:space="preserve"> on arvutisimulatsioonide roll tehnoloogia- ning õppeprotsessides järjest enam levinud. Eksperimentaalsed laborikatsed </w:t>
      </w:r>
      <w:r w:rsidR="004B06A1">
        <w:rPr>
          <w:rFonts w:cs="Times New Roman"/>
          <w:color w:val="000000"/>
          <w:szCs w:val="24"/>
        </w:rPr>
        <w:t xml:space="preserve">võivad olla </w:t>
      </w:r>
      <w:r w:rsidRPr="00CF7380">
        <w:rPr>
          <w:rFonts w:cs="Times New Roman"/>
          <w:color w:val="000000"/>
          <w:szCs w:val="24"/>
        </w:rPr>
        <w:t xml:space="preserve">mingil määral piiratud, </w:t>
      </w:r>
      <w:r w:rsidR="004B06A1">
        <w:rPr>
          <w:rFonts w:cs="Times New Roman"/>
          <w:color w:val="000000"/>
          <w:szCs w:val="24"/>
        </w:rPr>
        <w:t xml:space="preserve">kas siis tehnoloogilistel fundamentaalsetel või majanduslikel põhjustel </w:t>
      </w:r>
      <w:sdt>
        <w:sdtPr>
          <w:rPr>
            <w:rFonts w:cs="Times New Roman"/>
            <w:color w:val="000000"/>
            <w:szCs w:val="24"/>
          </w:rPr>
          <w:id w:val="6938518"/>
          <w:citation/>
        </w:sdtPr>
        <w:sdtContent>
          <w:r w:rsidR="00B23348">
            <w:rPr>
              <w:rFonts w:cs="Times New Roman"/>
              <w:color w:val="000000"/>
              <w:szCs w:val="24"/>
            </w:rPr>
            <w:fldChar w:fldCharType="begin"/>
          </w:r>
          <w:r w:rsidR="00B75B3F">
            <w:rPr>
              <w:rFonts w:cs="Times New Roman"/>
              <w:color w:val="000000"/>
              <w:szCs w:val="24"/>
            </w:rPr>
            <w:instrText xml:space="preserve"> CITATION G \l 1061  </w:instrText>
          </w:r>
          <w:r w:rsidR="00B23348">
            <w:rPr>
              <w:rFonts w:cs="Times New Roman"/>
              <w:color w:val="000000"/>
              <w:szCs w:val="24"/>
            </w:rPr>
            <w:fldChar w:fldCharType="separate"/>
          </w:r>
          <w:r w:rsidR="005B76C8" w:rsidRPr="005B76C8">
            <w:rPr>
              <w:rFonts w:cs="Times New Roman"/>
              <w:noProof/>
              <w:color w:val="000000"/>
              <w:szCs w:val="24"/>
            </w:rPr>
            <w:t>[</w:t>
          </w:r>
          <w:hyperlink w:anchor="G" w:history="1">
            <w:r w:rsidR="005B76C8" w:rsidRPr="005B76C8">
              <w:rPr>
                <w:rStyle w:val="Heading2Char"/>
                <w:rFonts w:eastAsiaTheme="minorHAnsi" w:cs="Times New Roman"/>
                <w:noProof/>
                <w:color w:val="000000"/>
                <w:sz w:val="24"/>
                <w:szCs w:val="24"/>
              </w:rPr>
              <w:t>8</w:t>
            </w:r>
          </w:hyperlink>
          <w:r w:rsidR="005B76C8" w:rsidRPr="005B76C8">
            <w:rPr>
              <w:rFonts w:cs="Times New Roman"/>
              <w:noProof/>
              <w:color w:val="000000"/>
              <w:szCs w:val="24"/>
            </w:rPr>
            <w:t>]</w:t>
          </w:r>
          <w:r w:rsidR="00B23348">
            <w:rPr>
              <w:rFonts w:cs="Times New Roman"/>
              <w:color w:val="000000"/>
              <w:szCs w:val="24"/>
            </w:rPr>
            <w:fldChar w:fldCharType="end"/>
          </w:r>
        </w:sdtContent>
      </w:sdt>
      <w:r w:rsidRPr="00CF7380">
        <w:rPr>
          <w:rFonts w:cs="Times New Roman"/>
          <w:color w:val="000000"/>
          <w:szCs w:val="24"/>
        </w:rPr>
        <w:t>. Uute ainete väljatöötamine</w:t>
      </w:r>
      <w:r w:rsidR="0025142F">
        <w:rPr>
          <w:rFonts w:cs="Times New Roman"/>
          <w:color w:val="000000"/>
          <w:szCs w:val="24"/>
        </w:rPr>
        <w:t xml:space="preserve"> on</w:t>
      </w:r>
      <w:r w:rsidRPr="00CF7380">
        <w:rPr>
          <w:rFonts w:cs="Times New Roman"/>
          <w:color w:val="000000"/>
          <w:szCs w:val="24"/>
        </w:rPr>
        <w:t xml:space="preserve"> mater</w:t>
      </w:r>
      <w:r w:rsidR="00EC1635">
        <w:rPr>
          <w:rFonts w:cs="Times New Roman"/>
          <w:color w:val="000000"/>
          <w:szCs w:val="24"/>
        </w:rPr>
        <w:t>j</w:t>
      </w:r>
      <w:r w:rsidRPr="00CF7380">
        <w:rPr>
          <w:rFonts w:cs="Times New Roman"/>
          <w:color w:val="000000"/>
          <w:szCs w:val="24"/>
        </w:rPr>
        <w:t xml:space="preserve">aliteaduses </w:t>
      </w:r>
      <w:r w:rsidR="004B06A1">
        <w:rPr>
          <w:rFonts w:cs="Times New Roman"/>
          <w:color w:val="000000"/>
          <w:szCs w:val="24"/>
        </w:rPr>
        <w:t>suhteliselt</w:t>
      </w:r>
      <w:r w:rsidRPr="00CF7380">
        <w:rPr>
          <w:rFonts w:cs="Times New Roman"/>
          <w:color w:val="000000"/>
          <w:szCs w:val="24"/>
        </w:rPr>
        <w:t xml:space="preserve"> </w:t>
      </w:r>
      <w:r w:rsidR="0025142F">
        <w:rPr>
          <w:rFonts w:cs="Times New Roman"/>
          <w:color w:val="000000"/>
          <w:szCs w:val="24"/>
        </w:rPr>
        <w:t xml:space="preserve">aja- ja </w:t>
      </w:r>
      <w:r w:rsidRPr="00CF7380">
        <w:rPr>
          <w:rFonts w:cs="Times New Roman"/>
          <w:color w:val="000000"/>
          <w:szCs w:val="24"/>
        </w:rPr>
        <w:t>ressurs</w:t>
      </w:r>
      <w:r w:rsidR="0025142F">
        <w:rPr>
          <w:rFonts w:cs="Times New Roman"/>
          <w:color w:val="000000"/>
          <w:szCs w:val="24"/>
        </w:rPr>
        <w:t>imahukas. Siinkohal</w:t>
      </w:r>
      <w:r w:rsidR="00C023E3">
        <w:rPr>
          <w:rFonts w:cs="Times New Roman"/>
          <w:color w:val="000000"/>
          <w:szCs w:val="24"/>
        </w:rPr>
        <w:t xml:space="preserve"> pakuvad tõhusat abi </w:t>
      </w:r>
      <w:r w:rsidRPr="00CF7380">
        <w:rPr>
          <w:rFonts w:cs="Times New Roman"/>
          <w:color w:val="000000"/>
          <w:szCs w:val="24"/>
        </w:rPr>
        <w:t>arvutieksperimendid</w:t>
      </w:r>
      <w:r w:rsidR="00A10CFA">
        <w:rPr>
          <w:rFonts w:cs="Times New Roman"/>
          <w:color w:val="000000"/>
          <w:szCs w:val="24"/>
        </w:rPr>
        <w:t xml:space="preserve"> </w:t>
      </w:r>
      <w:sdt>
        <w:sdtPr>
          <w:rPr>
            <w:rFonts w:cs="Times New Roman"/>
            <w:color w:val="000000"/>
            <w:szCs w:val="24"/>
          </w:rPr>
          <w:id w:val="6966423"/>
          <w:citation/>
        </w:sdtPr>
        <w:sdtContent>
          <w:r w:rsidR="00B23348">
            <w:rPr>
              <w:rFonts w:cs="Times New Roman"/>
              <w:color w:val="000000"/>
              <w:szCs w:val="24"/>
            </w:rPr>
            <w:fldChar w:fldCharType="begin"/>
          </w:r>
          <w:r w:rsidR="00B75B3F">
            <w:rPr>
              <w:rFonts w:cs="Times New Roman"/>
              <w:color w:val="000000"/>
              <w:szCs w:val="24"/>
            </w:rPr>
            <w:instrText xml:space="preserve"> CITATION Smi02 \l 1061  </w:instrText>
          </w:r>
          <w:r w:rsidR="00B23348">
            <w:rPr>
              <w:rFonts w:cs="Times New Roman"/>
              <w:color w:val="000000"/>
              <w:szCs w:val="24"/>
            </w:rPr>
            <w:fldChar w:fldCharType="separate"/>
          </w:r>
          <w:r w:rsidR="005B76C8" w:rsidRPr="005B76C8">
            <w:rPr>
              <w:rFonts w:cs="Times New Roman"/>
              <w:noProof/>
              <w:color w:val="000000"/>
              <w:szCs w:val="24"/>
            </w:rPr>
            <w:t>[</w:t>
          </w:r>
          <w:hyperlink w:anchor="Smi02" w:history="1">
            <w:r w:rsidR="005B76C8" w:rsidRPr="005B76C8">
              <w:rPr>
                <w:rStyle w:val="Heading2Char"/>
                <w:rFonts w:eastAsiaTheme="minorHAnsi" w:cs="Times New Roman"/>
                <w:noProof/>
                <w:color w:val="000000"/>
                <w:sz w:val="24"/>
                <w:szCs w:val="24"/>
              </w:rPr>
              <w:t>9</w:t>
            </w:r>
          </w:hyperlink>
          <w:r w:rsidR="005B76C8" w:rsidRPr="005B76C8">
            <w:rPr>
              <w:rFonts w:cs="Times New Roman"/>
              <w:noProof/>
              <w:color w:val="000000"/>
              <w:szCs w:val="24"/>
            </w:rPr>
            <w:t>]</w:t>
          </w:r>
          <w:r w:rsidR="00B23348">
            <w:rPr>
              <w:rFonts w:cs="Times New Roman"/>
              <w:color w:val="000000"/>
              <w:szCs w:val="24"/>
            </w:rPr>
            <w:fldChar w:fldCharType="end"/>
          </w:r>
        </w:sdtContent>
      </w:sdt>
      <w:r w:rsidRPr="00CF7380">
        <w:rPr>
          <w:rFonts w:cs="Times New Roman"/>
          <w:color w:val="000000"/>
          <w:szCs w:val="24"/>
        </w:rPr>
        <w:t xml:space="preserve">. </w:t>
      </w:r>
      <w:r w:rsidR="00C023E3">
        <w:rPr>
          <w:rFonts w:cs="Times New Roman"/>
          <w:color w:val="000000"/>
          <w:szCs w:val="24"/>
        </w:rPr>
        <w:t>A</w:t>
      </w:r>
      <w:r>
        <w:rPr>
          <w:rFonts w:cs="Times New Roman"/>
          <w:color w:val="000000"/>
          <w:szCs w:val="24"/>
        </w:rPr>
        <w:t>rvutisimulatsioonide</w:t>
      </w:r>
      <w:r w:rsidRPr="00CF7380">
        <w:rPr>
          <w:rFonts w:cs="Times New Roman"/>
          <w:color w:val="000000"/>
          <w:szCs w:val="24"/>
        </w:rPr>
        <w:t xml:space="preserve"> abil saa</w:t>
      </w:r>
      <w:r w:rsidR="00C023E3">
        <w:rPr>
          <w:rFonts w:cs="Times New Roman"/>
          <w:color w:val="000000"/>
          <w:szCs w:val="24"/>
        </w:rPr>
        <w:t xml:space="preserve">b </w:t>
      </w:r>
      <w:r w:rsidRPr="00CF7380">
        <w:rPr>
          <w:rFonts w:cs="Times New Roman"/>
          <w:color w:val="000000"/>
          <w:szCs w:val="24"/>
        </w:rPr>
        <w:t xml:space="preserve">koguda fundamentaalseid </w:t>
      </w:r>
      <w:r w:rsidR="00107796">
        <w:rPr>
          <w:rFonts w:cs="Times New Roman"/>
          <w:color w:val="000000"/>
          <w:szCs w:val="24"/>
        </w:rPr>
        <w:t>andmeid</w:t>
      </w:r>
      <w:r w:rsidRPr="00CF7380">
        <w:rPr>
          <w:rFonts w:cs="Times New Roman"/>
          <w:color w:val="000000"/>
          <w:szCs w:val="24"/>
        </w:rPr>
        <w:t>, mis aitavad paremini mõista ainetes toimuvat ja sel</w:t>
      </w:r>
      <w:r w:rsidR="00107796">
        <w:rPr>
          <w:rFonts w:cs="Times New Roman"/>
          <w:color w:val="000000"/>
          <w:szCs w:val="24"/>
        </w:rPr>
        <w:t xml:space="preserve">gitada </w:t>
      </w:r>
      <w:r w:rsidRPr="00CF7380">
        <w:rPr>
          <w:rFonts w:cs="Times New Roman"/>
          <w:color w:val="000000"/>
          <w:szCs w:val="24"/>
        </w:rPr>
        <w:t>a</w:t>
      </w:r>
      <w:r w:rsidR="00107796">
        <w:rPr>
          <w:rFonts w:cs="Times New Roman"/>
          <w:color w:val="000000"/>
          <w:szCs w:val="24"/>
        </w:rPr>
        <w:t>inete omadusi aatomtasandil. Selline uurimismeetod aitab</w:t>
      </w:r>
      <w:r w:rsidRPr="00CF7380">
        <w:rPr>
          <w:rFonts w:cs="Times New Roman"/>
          <w:color w:val="000000"/>
          <w:szCs w:val="24"/>
        </w:rPr>
        <w:t xml:space="preserve"> </w:t>
      </w:r>
      <w:r>
        <w:rPr>
          <w:rFonts w:cs="Times New Roman"/>
          <w:color w:val="000000"/>
          <w:szCs w:val="24"/>
        </w:rPr>
        <w:t xml:space="preserve">selgitada </w:t>
      </w:r>
      <w:r w:rsidRPr="00CF7380">
        <w:rPr>
          <w:rFonts w:cs="Times New Roman"/>
          <w:color w:val="000000"/>
          <w:szCs w:val="24"/>
        </w:rPr>
        <w:t>vedelike käitumist</w:t>
      </w:r>
      <w:r>
        <w:rPr>
          <w:rFonts w:cs="Times New Roman"/>
          <w:color w:val="000000"/>
          <w:szCs w:val="24"/>
        </w:rPr>
        <w:t xml:space="preserve"> ning</w:t>
      </w:r>
      <w:r w:rsidRPr="00CF7380">
        <w:rPr>
          <w:rFonts w:cs="Times New Roman"/>
          <w:color w:val="000000"/>
          <w:szCs w:val="24"/>
        </w:rPr>
        <w:t xml:space="preserve"> elektronide ja ioonide liiku</w:t>
      </w:r>
      <w:r>
        <w:rPr>
          <w:rFonts w:cs="Times New Roman"/>
          <w:color w:val="000000"/>
          <w:szCs w:val="24"/>
        </w:rPr>
        <w:t>mist</w:t>
      </w:r>
      <w:r w:rsidR="00877CBD">
        <w:rPr>
          <w:rFonts w:cs="Times New Roman"/>
          <w:color w:val="000000"/>
          <w:szCs w:val="24"/>
        </w:rPr>
        <w:t xml:space="preserve"> </w:t>
      </w:r>
      <w:sdt>
        <w:sdtPr>
          <w:rPr>
            <w:rFonts w:cs="Times New Roman"/>
            <w:color w:val="000000"/>
            <w:szCs w:val="24"/>
          </w:rPr>
          <w:id w:val="6969912"/>
          <w:citation/>
        </w:sdtPr>
        <w:sdtContent>
          <w:r w:rsidR="00B23348">
            <w:rPr>
              <w:rFonts w:cs="Times New Roman"/>
              <w:color w:val="000000"/>
              <w:szCs w:val="24"/>
            </w:rPr>
            <w:fldChar w:fldCharType="begin"/>
          </w:r>
          <w:r w:rsidR="00B75B3F">
            <w:rPr>
              <w:rFonts w:cs="Times New Roman"/>
              <w:color w:val="000000"/>
              <w:szCs w:val="24"/>
            </w:rPr>
            <w:instrText xml:space="preserve"> CITATION G \l 1061  </w:instrText>
          </w:r>
          <w:r w:rsidR="00B23348">
            <w:rPr>
              <w:rFonts w:cs="Times New Roman"/>
              <w:color w:val="000000"/>
              <w:szCs w:val="24"/>
            </w:rPr>
            <w:fldChar w:fldCharType="separate"/>
          </w:r>
          <w:r w:rsidR="005B76C8" w:rsidRPr="005B76C8">
            <w:rPr>
              <w:rFonts w:cs="Times New Roman"/>
              <w:noProof/>
              <w:color w:val="000000"/>
              <w:szCs w:val="24"/>
            </w:rPr>
            <w:t>[</w:t>
          </w:r>
          <w:hyperlink w:anchor="G" w:history="1">
            <w:r w:rsidR="005B76C8" w:rsidRPr="005B76C8">
              <w:rPr>
                <w:rStyle w:val="Heading2Char"/>
                <w:rFonts w:eastAsiaTheme="minorHAnsi" w:cs="Times New Roman"/>
                <w:noProof/>
                <w:color w:val="000000"/>
                <w:sz w:val="24"/>
                <w:szCs w:val="24"/>
              </w:rPr>
              <w:t>8</w:t>
            </w:r>
          </w:hyperlink>
          <w:r w:rsidR="005B76C8" w:rsidRPr="005B76C8">
            <w:rPr>
              <w:rFonts w:cs="Times New Roman"/>
              <w:noProof/>
              <w:color w:val="000000"/>
              <w:szCs w:val="24"/>
            </w:rPr>
            <w:t>]</w:t>
          </w:r>
          <w:r w:rsidR="00B23348">
            <w:rPr>
              <w:rFonts w:cs="Times New Roman"/>
              <w:color w:val="000000"/>
              <w:szCs w:val="24"/>
            </w:rPr>
            <w:fldChar w:fldCharType="end"/>
          </w:r>
        </w:sdtContent>
      </w:sdt>
      <w:r w:rsidRPr="00CF7380">
        <w:rPr>
          <w:rFonts w:cs="Times New Roman"/>
          <w:color w:val="000000"/>
          <w:szCs w:val="24"/>
        </w:rPr>
        <w:t>.</w:t>
      </w:r>
    </w:p>
    <w:p w:rsidR="00C92CD4" w:rsidRDefault="00C92CD4" w:rsidP="00C92CD4">
      <w:pPr>
        <w:autoSpaceDE w:val="0"/>
        <w:autoSpaceDN w:val="0"/>
        <w:adjustRightInd w:val="0"/>
        <w:spacing w:before="0" w:after="0"/>
        <w:rPr>
          <w:rFonts w:cs="Times New Roman"/>
          <w:color w:val="000000"/>
          <w:szCs w:val="24"/>
        </w:rPr>
      </w:pPr>
    </w:p>
    <w:p w:rsidR="00973BBC" w:rsidRDefault="000D5FCA" w:rsidP="00C92CD4">
      <w:pPr>
        <w:autoSpaceDE w:val="0"/>
        <w:autoSpaceDN w:val="0"/>
        <w:adjustRightInd w:val="0"/>
        <w:spacing w:before="0" w:after="0"/>
        <w:rPr>
          <w:rFonts w:cs="Times New Roman"/>
          <w:szCs w:val="24"/>
        </w:rPr>
      </w:pPr>
      <w:r>
        <w:rPr>
          <w:rFonts w:cs="Times New Roman"/>
          <w:color w:val="000000"/>
          <w:szCs w:val="24"/>
        </w:rPr>
        <w:t xml:space="preserve"> Arvutiga</w:t>
      </w:r>
      <w:r w:rsidR="00973BBC" w:rsidRPr="00CF7380">
        <w:rPr>
          <w:rFonts w:cs="Times New Roman"/>
          <w:color w:val="000000"/>
          <w:szCs w:val="24"/>
        </w:rPr>
        <w:t xml:space="preserve"> tehtavaid eksperimente saab lihtsa</w:t>
      </w:r>
      <w:r>
        <w:rPr>
          <w:rFonts w:cs="Times New Roman"/>
          <w:color w:val="000000"/>
          <w:szCs w:val="24"/>
        </w:rPr>
        <w:t xml:space="preserve">lt </w:t>
      </w:r>
      <w:r w:rsidR="00973BBC" w:rsidRPr="00CF7380">
        <w:rPr>
          <w:rFonts w:cs="Times New Roman"/>
          <w:color w:val="000000"/>
          <w:szCs w:val="24"/>
        </w:rPr>
        <w:t>korrata ja algandme</w:t>
      </w:r>
      <w:r w:rsidR="00973BBC">
        <w:rPr>
          <w:rFonts w:cs="Times New Roman"/>
          <w:color w:val="000000"/>
          <w:szCs w:val="24"/>
        </w:rPr>
        <w:t>id</w:t>
      </w:r>
      <w:r w:rsidR="000B2DA3">
        <w:rPr>
          <w:rFonts w:cs="Times New Roman"/>
          <w:color w:val="000000"/>
          <w:szCs w:val="24"/>
        </w:rPr>
        <w:t>,</w:t>
      </w:r>
      <w:r w:rsidR="00973BBC">
        <w:rPr>
          <w:rFonts w:cs="Times New Roman"/>
          <w:color w:val="000000"/>
          <w:szCs w:val="24"/>
        </w:rPr>
        <w:t xml:space="preserve"> näiteks </w:t>
      </w:r>
      <w:r w:rsidR="00973BBC" w:rsidRPr="00CF7380">
        <w:rPr>
          <w:rFonts w:cs="Times New Roman"/>
          <w:color w:val="000000"/>
          <w:szCs w:val="24"/>
        </w:rPr>
        <w:t>koostisosade kon</w:t>
      </w:r>
      <w:r w:rsidR="00EC1635">
        <w:rPr>
          <w:rFonts w:cs="Times New Roman"/>
          <w:color w:val="000000"/>
          <w:szCs w:val="24"/>
        </w:rPr>
        <w:t>t</w:t>
      </w:r>
      <w:r w:rsidR="00973BBC" w:rsidRPr="00CF7380">
        <w:rPr>
          <w:rFonts w:cs="Times New Roman"/>
          <w:color w:val="000000"/>
          <w:szCs w:val="24"/>
        </w:rPr>
        <w:t>sentratsiooni, temperatuuri või rõhku</w:t>
      </w:r>
      <w:r w:rsidR="00973BBC">
        <w:rPr>
          <w:rFonts w:cs="Times New Roman"/>
          <w:color w:val="000000"/>
          <w:szCs w:val="24"/>
        </w:rPr>
        <w:t xml:space="preserve"> muutes</w:t>
      </w:r>
      <w:r w:rsidR="000B2DA3">
        <w:rPr>
          <w:rFonts w:cs="Times New Roman"/>
          <w:color w:val="000000"/>
          <w:szCs w:val="24"/>
        </w:rPr>
        <w:t xml:space="preserve"> </w:t>
      </w:r>
      <w:r w:rsidR="00973BBC">
        <w:rPr>
          <w:rFonts w:cs="Times New Roman"/>
          <w:color w:val="000000"/>
          <w:szCs w:val="24"/>
        </w:rPr>
        <w:t>analüüsi</w:t>
      </w:r>
      <w:r w:rsidR="000B2DA3">
        <w:rPr>
          <w:rFonts w:cs="Times New Roman"/>
          <w:color w:val="000000"/>
          <w:szCs w:val="24"/>
        </w:rPr>
        <w:t xml:space="preserve">da laia </w:t>
      </w:r>
      <w:r w:rsidR="00973BBC">
        <w:rPr>
          <w:rFonts w:cs="Times New Roman"/>
          <w:color w:val="000000"/>
          <w:szCs w:val="24"/>
        </w:rPr>
        <w:t>süsteem</w:t>
      </w:r>
      <w:r w:rsidR="000B2DA3">
        <w:rPr>
          <w:rFonts w:cs="Times New Roman"/>
          <w:color w:val="000000"/>
          <w:szCs w:val="24"/>
        </w:rPr>
        <w:t>ispektrit</w:t>
      </w:r>
      <w:r w:rsidR="00973BBC">
        <w:rPr>
          <w:rFonts w:cs="Times New Roman"/>
          <w:color w:val="000000"/>
          <w:szCs w:val="24"/>
        </w:rPr>
        <w:t xml:space="preserve">, </w:t>
      </w:r>
      <w:r w:rsidR="000B2DA3">
        <w:rPr>
          <w:rFonts w:cs="Times New Roman"/>
          <w:color w:val="000000"/>
          <w:szCs w:val="24"/>
        </w:rPr>
        <w:t>mi</w:t>
      </w:r>
      <w:r>
        <w:rPr>
          <w:rFonts w:cs="Times New Roman"/>
          <w:color w:val="000000"/>
          <w:szCs w:val="24"/>
        </w:rPr>
        <w:t xml:space="preserve">lle teostamine </w:t>
      </w:r>
      <w:r w:rsidR="000B2DA3">
        <w:rPr>
          <w:rFonts w:cs="Times New Roman"/>
          <w:color w:val="000000"/>
          <w:szCs w:val="24"/>
        </w:rPr>
        <w:t>võiks</w:t>
      </w:r>
      <w:r>
        <w:rPr>
          <w:rFonts w:cs="Times New Roman"/>
          <w:color w:val="000000"/>
          <w:szCs w:val="24"/>
        </w:rPr>
        <w:t xml:space="preserve"> muidu keerukas</w:t>
      </w:r>
      <w:r w:rsidR="000B2DA3">
        <w:rPr>
          <w:rFonts w:cs="Times New Roman"/>
          <w:color w:val="000000"/>
          <w:szCs w:val="24"/>
        </w:rPr>
        <w:t xml:space="preserve"> olla</w:t>
      </w:r>
      <w:r w:rsidR="00973BBC">
        <w:rPr>
          <w:rFonts w:cs="Times New Roman"/>
          <w:color w:val="000000"/>
          <w:szCs w:val="24"/>
        </w:rPr>
        <w:t>.</w:t>
      </w:r>
      <w:r w:rsidR="00973BBC" w:rsidRPr="00CF7380">
        <w:rPr>
          <w:rFonts w:cs="Times New Roman"/>
          <w:color w:val="000000"/>
          <w:szCs w:val="24"/>
        </w:rPr>
        <w:t xml:space="preserve"> </w:t>
      </w:r>
      <w:r w:rsidR="00973BBC">
        <w:rPr>
          <w:rFonts w:cs="Times New Roman"/>
          <w:color w:val="000000"/>
          <w:szCs w:val="24"/>
        </w:rPr>
        <w:t>On võimalik ka</w:t>
      </w:r>
      <w:r w:rsidR="00973BBC" w:rsidRPr="00216CEA">
        <w:rPr>
          <w:rFonts w:cs="Times New Roman"/>
          <w:szCs w:val="24"/>
        </w:rPr>
        <w:t xml:space="preserve"> numbriliselt kontrollida, kas katseandmetel põhinev </w:t>
      </w:r>
      <w:r w:rsidR="008618D2">
        <w:rPr>
          <w:rFonts w:cs="Times New Roman"/>
          <w:szCs w:val="24"/>
        </w:rPr>
        <w:t>alg</w:t>
      </w:r>
      <w:r w:rsidR="00973BBC" w:rsidRPr="00216CEA">
        <w:rPr>
          <w:rFonts w:cs="Times New Roman"/>
          <w:szCs w:val="24"/>
        </w:rPr>
        <w:t>mudel on piisavalt täpne, selgitada eksperimendis ilmnenud omadusi ja näha ette uusi võimalikke efekte, mida saaks eksperimentaalselt kontrollida.</w:t>
      </w:r>
    </w:p>
    <w:p w:rsidR="00C92CD4" w:rsidRPr="00216CEA" w:rsidRDefault="00C92CD4" w:rsidP="00C92CD4">
      <w:pPr>
        <w:autoSpaceDE w:val="0"/>
        <w:autoSpaceDN w:val="0"/>
        <w:adjustRightInd w:val="0"/>
        <w:spacing w:before="0" w:after="0"/>
        <w:rPr>
          <w:rFonts w:cs="Times New Roman"/>
          <w:szCs w:val="24"/>
        </w:rPr>
      </w:pPr>
    </w:p>
    <w:p w:rsidR="00973BBC" w:rsidRDefault="000B2DA3" w:rsidP="00973BBC">
      <w:pPr>
        <w:autoSpaceDE w:val="0"/>
        <w:autoSpaceDN w:val="0"/>
        <w:adjustRightInd w:val="0"/>
        <w:spacing w:after="0"/>
        <w:rPr>
          <w:rFonts w:cs="Times New Roman"/>
          <w:szCs w:val="24"/>
        </w:rPr>
      </w:pPr>
      <w:r>
        <w:rPr>
          <w:rFonts w:cs="Times New Roman"/>
          <w:szCs w:val="24"/>
        </w:rPr>
        <w:t>Arvuti</w:t>
      </w:r>
      <w:r w:rsidR="00973BBC" w:rsidRPr="00216CEA">
        <w:rPr>
          <w:rFonts w:cs="Times New Roman"/>
          <w:szCs w:val="24"/>
        </w:rPr>
        <w:t xml:space="preserve">eksperimendides kasutatavad materjalimudelid on alati lihtsustatud ja keskendatud valitud omaduste uurimisele, mistõttu simulatsioonitulemuste täpsus sõltub algandmetest ja mudelis kasutatavatest algvõrranditest. </w:t>
      </w:r>
    </w:p>
    <w:p w:rsidR="00973BBC" w:rsidRDefault="00973BBC" w:rsidP="00AF1811">
      <w:pPr>
        <w:pStyle w:val="Heading2"/>
      </w:pPr>
      <w:bookmarkStart w:id="7" w:name="_Toc230501773"/>
      <w:bookmarkStart w:id="8" w:name="_Toc231118055"/>
      <w:bookmarkStart w:id="9" w:name="_Toc325224166"/>
      <w:r>
        <w:lastRenderedPageBreak/>
        <w:t xml:space="preserve">1.3. </w:t>
      </w:r>
      <w:r w:rsidRPr="0012142A">
        <w:t xml:space="preserve"> Töö eesmär</w:t>
      </w:r>
      <w:bookmarkEnd w:id="7"/>
      <w:bookmarkEnd w:id="8"/>
      <w:r w:rsidR="000B2DA3">
        <w:t>gid ja hüpoteesid</w:t>
      </w:r>
      <w:bookmarkEnd w:id="9"/>
    </w:p>
    <w:p w:rsidR="00836066" w:rsidRDefault="00973BBC" w:rsidP="004B04B1">
      <w:pPr>
        <w:rPr>
          <w:rFonts w:cs="Times New Roman"/>
          <w:szCs w:val="24"/>
        </w:rPr>
      </w:pPr>
      <w:r w:rsidRPr="008C745C">
        <w:rPr>
          <w:rFonts w:cs="Times New Roman"/>
          <w:szCs w:val="24"/>
        </w:rPr>
        <w:t xml:space="preserve">Käesoleva töö </w:t>
      </w:r>
      <w:r w:rsidR="008C745C">
        <w:rPr>
          <w:rFonts w:cs="Times New Roman"/>
          <w:szCs w:val="24"/>
        </w:rPr>
        <w:t xml:space="preserve"> </w:t>
      </w:r>
      <w:r w:rsidR="0073368C">
        <w:rPr>
          <w:rFonts w:cs="Times New Roman"/>
          <w:szCs w:val="24"/>
        </w:rPr>
        <w:t>esimeseks</w:t>
      </w:r>
      <w:r w:rsidR="008C745C">
        <w:rPr>
          <w:rFonts w:cs="Times New Roman"/>
          <w:szCs w:val="24"/>
        </w:rPr>
        <w:t xml:space="preserve"> </w:t>
      </w:r>
      <w:r w:rsidRPr="008C745C">
        <w:rPr>
          <w:rFonts w:cs="Times New Roman"/>
          <w:szCs w:val="24"/>
        </w:rPr>
        <w:t>eesm</w:t>
      </w:r>
      <w:r w:rsidR="008C745C">
        <w:rPr>
          <w:rFonts w:cs="Times New Roman"/>
          <w:szCs w:val="24"/>
        </w:rPr>
        <w:t>ärgiks</w:t>
      </w:r>
      <w:r w:rsidRPr="008C745C">
        <w:rPr>
          <w:rFonts w:cs="Times New Roman"/>
          <w:szCs w:val="24"/>
        </w:rPr>
        <w:t xml:space="preserve"> on koostada</w:t>
      </w:r>
      <w:r w:rsidR="008C745C">
        <w:rPr>
          <w:rFonts w:cs="Times New Roman"/>
          <w:szCs w:val="24"/>
        </w:rPr>
        <w:t xml:space="preserve"> arvutimudel </w:t>
      </w:r>
      <w:r w:rsidRPr="008C745C">
        <w:rPr>
          <w:rFonts w:cs="Times New Roman"/>
          <w:szCs w:val="24"/>
        </w:rPr>
        <w:t>polümeermaterjalist</w:t>
      </w:r>
      <w:r w:rsidR="008C745C">
        <w:rPr>
          <w:rFonts w:cs="Times New Roman"/>
          <w:szCs w:val="24"/>
        </w:rPr>
        <w:t xml:space="preserve">, mis võiks </w:t>
      </w:r>
      <w:r w:rsidR="0073368C">
        <w:rPr>
          <w:rFonts w:cs="Times New Roman"/>
          <w:szCs w:val="24"/>
        </w:rPr>
        <w:t>olla potentsiaalne kandidaat l</w:t>
      </w:r>
      <w:r w:rsidR="008C745C" w:rsidRPr="008C745C">
        <w:rPr>
          <w:rFonts w:cs="Times New Roman"/>
          <w:szCs w:val="24"/>
        </w:rPr>
        <w:t>iitium</w:t>
      </w:r>
      <w:r w:rsidR="0073368C">
        <w:rPr>
          <w:rFonts w:cs="Times New Roman"/>
          <w:szCs w:val="24"/>
        </w:rPr>
        <w:t>ioon</w:t>
      </w:r>
      <w:r w:rsidR="008C745C" w:rsidRPr="008C745C">
        <w:rPr>
          <w:rFonts w:cs="Times New Roman"/>
          <w:szCs w:val="24"/>
        </w:rPr>
        <w:t>-polümeeraku elektrolüüdiks</w:t>
      </w:r>
      <w:r w:rsidR="008C745C">
        <w:rPr>
          <w:rFonts w:cs="Times New Roman"/>
          <w:szCs w:val="24"/>
        </w:rPr>
        <w:t xml:space="preserve">. </w:t>
      </w:r>
      <w:r w:rsidR="00683E41">
        <w:rPr>
          <w:rFonts w:cs="Times New Roman"/>
          <w:szCs w:val="24"/>
        </w:rPr>
        <w:t>Antud mudel</w:t>
      </w:r>
      <w:r w:rsidR="005F7A18">
        <w:rPr>
          <w:rFonts w:cs="Times New Roman"/>
          <w:szCs w:val="24"/>
        </w:rPr>
        <w:t xml:space="preserve"> </w:t>
      </w:r>
      <w:r w:rsidR="00C05DD4">
        <w:rPr>
          <w:rFonts w:cs="Times New Roman"/>
          <w:szCs w:val="24"/>
        </w:rPr>
        <w:t>sisalda</w:t>
      </w:r>
      <w:r w:rsidR="00646451">
        <w:rPr>
          <w:rFonts w:cs="Times New Roman"/>
          <w:szCs w:val="24"/>
        </w:rPr>
        <w:t xml:space="preserve">b </w:t>
      </w:r>
      <w:r w:rsidR="00683E41">
        <w:rPr>
          <w:rFonts w:cs="Times New Roman"/>
          <w:szCs w:val="24"/>
        </w:rPr>
        <w:t>kõrvalahelatega kopolümeeri, mille peaahel</w:t>
      </w:r>
      <w:r w:rsidR="00646451">
        <w:rPr>
          <w:rFonts w:cs="Times New Roman"/>
          <w:szCs w:val="24"/>
        </w:rPr>
        <w:t>aks</w:t>
      </w:r>
      <w:r w:rsidR="00683E41">
        <w:rPr>
          <w:rFonts w:cs="Times New Roman"/>
          <w:szCs w:val="24"/>
        </w:rPr>
        <w:t xml:space="preserve"> on polüetülee</w:t>
      </w:r>
      <w:r w:rsidR="005F7A18">
        <w:rPr>
          <w:rFonts w:cs="Times New Roman"/>
          <w:szCs w:val="24"/>
        </w:rPr>
        <w:t>n</w:t>
      </w:r>
      <w:r w:rsidR="00683E41">
        <w:rPr>
          <w:rFonts w:cs="Times New Roman"/>
          <w:szCs w:val="24"/>
        </w:rPr>
        <w:t xml:space="preserve"> </w:t>
      </w:r>
      <w:r w:rsidR="006A3693">
        <w:rPr>
          <w:rFonts w:cs="Times New Roman"/>
          <w:szCs w:val="24"/>
        </w:rPr>
        <w:t>ning</w:t>
      </w:r>
      <w:r w:rsidR="00683E41">
        <w:rPr>
          <w:rFonts w:cs="Times New Roman"/>
          <w:szCs w:val="24"/>
        </w:rPr>
        <w:t xml:space="preserve"> kõrvalahela</w:t>
      </w:r>
      <w:r w:rsidR="00646451">
        <w:rPr>
          <w:rFonts w:cs="Times New Roman"/>
          <w:szCs w:val="24"/>
        </w:rPr>
        <w:t xml:space="preserve">teks </w:t>
      </w:r>
      <w:r w:rsidR="00683E41">
        <w:rPr>
          <w:rFonts w:cs="Times New Roman"/>
          <w:szCs w:val="24"/>
        </w:rPr>
        <w:t>polüetüleenoksiid</w:t>
      </w:r>
      <w:r w:rsidR="00646451">
        <w:rPr>
          <w:rFonts w:cs="Times New Roman"/>
          <w:szCs w:val="24"/>
        </w:rPr>
        <w:t xml:space="preserve">. Laengukandjateks on süsteemis </w:t>
      </w:r>
      <w:r w:rsidR="00683E41" w:rsidRPr="008C745C">
        <w:rPr>
          <w:rFonts w:cs="Times New Roman"/>
          <w:szCs w:val="24"/>
        </w:rPr>
        <w:t>d</w:t>
      </w:r>
      <w:r w:rsidR="00646451">
        <w:rPr>
          <w:rFonts w:cs="Times New Roman"/>
          <w:szCs w:val="24"/>
        </w:rPr>
        <w:t xml:space="preserve">issotsieeritud </w:t>
      </w:r>
      <w:r w:rsidR="00683E41">
        <w:rPr>
          <w:rFonts w:cs="Times New Roman"/>
          <w:szCs w:val="24"/>
        </w:rPr>
        <w:t>LiPF</w:t>
      </w:r>
      <w:r w:rsidR="00683E41">
        <w:rPr>
          <w:rFonts w:cs="Times New Roman"/>
          <w:szCs w:val="24"/>
          <w:vertAlign w:val="subscript"/>
        </w:rPr>
        <w:t>6</w:t>
      </w:r>
      <w:r w:rsidR="00683E41">
        <w:rPr>
          <w:rFonts w:cs="Times New Roman"/>
          <w:szCs w:val="24"/>
        </w:rPr>
        <w:t xml:space="preserve">. </w:t>
      </w:r>
    </w:p>
    <w:p w:rsidR="00387A43" w:rsidRDefault="004C3D31" w:rsidP="00387A43">
      <w:pPr>
        <w:rPr>
          <w:rFonts w:cs="Times New Roman"/>
          <w:szCs w:val="24"/>
        </w:rPr>
      </w:pPr>
      <w:r>
        <w:rPr>
          <w:rFonts w:cs="Times New Roman"/>
          <w:szCs w:val="24"/>
        </w:rPr>
        <w:t xml:space="preserve">Töö teiseks eesmärgiks on uurida kõrvalahelate pikkuste muutmise mõju </w:t>
      </w:r>
      <w:r w:rsidR="002F04B3" w:rsidRPr="008C745C">
        <w:rPr>
          <w:rFonts w:cs="Times New Roman"/>
          <w:szCs w:val="24"/>
        </w:rPr>
        <w:t>Li-ioonide ning anioonide liikuvusele ja lokaalsele</w:t>
      </w:r>
      <w:r w:rsidR="001849C1">
        <w:rPr>
          <w:rFonts w:cs="Times New Roman"/>
          <w:szCs w:val="24"/>
        </w:rPr>
        <w:t xml:space="preserve"> </w:t>
      </w:r>
      <w:r w:rsidR="00EF53AE">
        <w:rPr>
          <w:rFonts w:cs="Times New Roman"/>
          <w:szCs w:val="24"/>
        </w:rPr>
        <w:t>struktuurile</w:t>
      </w:r>
      <w:r w:rsidR="001849C1">
        <w:rPr>
          <w:rFonts w:cs="Times New Roman"/>
          <w:szCs w:val="24"/>
        </w:rPr>
        <w:t>.</w:t>
      </w:r>
    </w:p>
    <w:p w:rsidR="00387A43" w:rsidRDefault="00EF53AE" w:rsidP="00387A43">
      <w:pPr>
        <w:pStyle w:val="ListParagraph"/>
        <w:numPr>
          <w:ilvl w:val="0"/>
          <w:numId w:val="12"/>
        </w:numPr>
      </w:pPr>
      <w:r w:rsidRPr="00387A43">
        <w:rPr>
          <w:rFonts w:cs="Times New Roman"/>
          <w:szCs w:val="24"/>
        </w:rPr>
        <w:t>L</w:t>
      </w:r>
      <w:r w:rsidR="000D13D5" w:rsidRPr="00387A43">
        <w:rPr>
          <w:rFonts w:cs="Times New Roman"/>
          <w:szCs w:val="24"/>
        </w:rPr>
        <w:t>ähemalt</w:t>
      </w:r>
      <w:r w:rsidR="00C44D9F" w:rsidRPr="00387A43">
        <w:rPr>
          <w:rFonts w:cs="Times New Roman"/>
          <w:szCs w:val="24"/>
        </w:rPr>
        <w:t xml:space="preserve"> </w:t>
      </w:r>
      <w:r w:rsidRPr="00387A43">
        <w:rPr>
          <w:rFonts w:cs="Times New Roman"/>
          <w:szCs w:val="24"/>
        </w:rPr>
        <w:t xml:space="preserve">uuritakse </w:t>
      </w:r>
      <w:r w:rsidR="00C44D9F" w:rsidRPr="00387A43">
        <w:rPr>
          <w:rFonts w:cs="Times New Roman"/>
          <w:szCs w:val="24"/>
        </w:rPr>
        <w:t>Li</w:t>
      </w:r>
      <w:r w:rsidR="00C44D9F">
        <w:t>-ioonide koordinatsioon</w:t>
      </w:r>
      <w:r w:rsidR="000D13D5">
        <w:t>i</w:t>
      </w:r>
      <w:r w:rsidR="00C44D9F">
        <w:t xml:space="preserve"> </w:t>
      </w:r>
      <w:r w:rsidR="00E87FA9">
        <w:t>ahala</w:t>
      </w:r>
      <w:r w:rsidR="00C90D62">
        <w:t>hapniku</w:t>
      </w:r>
      <w:r w:rsidR="001D16B0">
        <w:t xml:space="preserve"> aatomi</w:t>
      </w:r>
      <w:r w:rsidR="00C90D62">
        <w:t xml:space="preserve">tega </w:t>
      </w:r>
      <w:r w:rsidR="00C44D9F">
        <w:t xml:space="preserve">ja </w:t>
      </w:r>
      <w:r w:rsidR="00C90D62">
        <w:t>an</w:t>
      </w:r>
      <w:r w:rsidR="00C44D9F">
        <w:t>ioonidega</w:t>
      </w:r>
      <w:r w:rsidR="00C90D62">
        <w:t>, et näha millis</w:t>
      </w:r>
      <w:r w:rsidR="000C389B">
        <w:t>ed</w:t>
      </w:r>
      <w:r w:rsidR="00C90D62">
        <w:t xml:space="preserve"> ahela</w:t>
      </w:r>
      <w:r w:rsidR="000C389B">
        <w:t xml:space="preserve">d </w:t>
      </w:r>
      <w:r w:rsidR="00C90D62">
        <w:t>ja millisel määral</w:t>
      </w:r>
      <w:r w:rsidR="000C389B">
        <w:t xml:space="preserve"> seovad </w:t>
      </w:r>
      <w:r w:rsidR="000C389B" w:rsidRPr="00387A43">
        <w:rPr>
          <w:rFonts w:cs="Times New Roman"/>
          <w:szCs w:val="24"/>
        </w:rPr>
        <w:t>Li</w:t>
      </w:r>
      <w:r w:rsidR="000C389B">
        <w:t xml:space="preserve">-ioone. </w:t>
      </w:r>
    </w:p>
    <w:p w:rsidR="00387A43" w:rsidRDefault="00C90D62" w:rsidP="00387A43">
      <w:pPr>
        <w:pStyle w:val="ListParagraph"/>
        <w:numPr>
          <w:ilvl w:val="0"/>
          <w:numId w:val="12"/>
        </w:numPr>
      </w:pPr>
      <w:r w:rsidRPr="00387A43">
        <w:rPr>
          <w:rFonts w:cs="Times New Roman"/>
          <w:szCs w:val="24"/>
        </w:rPr>
        <w:t>S</w:t>
      </w:r>
      <w:r w:rsidR="001849C1" w:rsidRPr="00387A43">
        <w:rPr>
          <w:rFonts w:cs="Times New Roman"/>
          <w:szCs w:val="24"/>
        </w:rPr>
        <w:t>elgita</w:t>
      </w:r>
      <w:r w:rsidR="000D13D5" w:rsidRPr="00387A43">
        <w:rPr>
          <w:rFonts w:cs="Times New Roman"/>
          <w:szCs w:val="24"/>
        </w:rPr>
        <w:t xml:space="preserve">takse välja </w:t>
      </w:r>
      <w:r w:rsidR="001849C1" w:rsidRPr="00387A43">
        <w:rPr>
          <w:rFonts w:cs="Times New Roman"/>
          <w:szCs w:val="24"/>
        </w:rPr>
        <w:t xml:space="preserve">kopolümeeri optimaalne kõrvalahelate pikkus, mis </w:t>
      </w:r>
      <w:r w:rsidR="00C44D9F" w:rsidRPr="00387A43">
        <w:rPr>
          <w:rFonts w:cs="Times New Roman"/>
          <w:szCs w:val="24"/>
        </w:rPr>
        <w:t>soodustab</w:t>
      </w:r>
      <w:r w:rsidR="001849C1" w:rsidRPr="00387A43">
        <w:rPr>
          <w:rFonts w:cs="Times New Roman"/>
          <w:szCs w:val="24"/>
        </w:rPr>
        <w:t xml:space="preserve"> Li</w:t>
      </w:r>
      <w:r w:rsidR="001849C1">
        <w:t>-ioonide</w:t>
      </w:r>
      <w:r w:rsidR="00C44D9F">
        <w:t xml:space="preserve"> ko</w:t>
      </w:r>
      <w:r w:rsidR="003A501F">
        <w:t>o</w:t>
      </w:r>
      <w:r w:rsidR="00C44D9F">
        <w:t>rdinatsio</w:t>
      </w:r>
      <w:r w:rsidR="006A3693">
        <w:t>onisfääris mu</w:t>
      </w:r>
      <w:r w:rsidR="00E87FA9">
        <w:t>utusi, mis</w:t>
      </w:r>
      <w:r w:rsidR="006A3693">
        <w:t xml:space="preserve"> </w:t>
      </w:r>
      <w:r w:rsidR="00ED13A9">
        <w:t>t</w:t>
      </w:r>
      <w:r w:rsidR="006A3693">
        <w:t>aga</w:t>
      </w:r>
      <w:r w:rsidR="00E87FA9">
        <w:t>vad</w:t>
      </w:r>
      <w:r w:rsidR="00ED13A9">
        <w:t xml:space="preserve"> </w:t>
      </w:r>
      <w:r w:rsidR="006A3693">
        <w:t>suurima</w:t>
      </w:r>
      <w:r w:rsidR="001849C1">
        <w:t xml:space="preserve"> diffusioonikoefitsendi</w:t>
      </w:r>
      <w:r w:rsidR="00C44D9F">
        <w:t>.</w:t>
      </w:r>
    </w:p>
    <w:p w:rsidR="004B04B1" w:rsidRDefault="00FB3383" w:rsidP="00387A43">
      <w:pPr>
        <w:pStyle w:val="ListParagraph"/>
        <w:numPr>
          <w:ilvl w:val="0"/>
          <w:numId w:val="12"/>
        </w:numPr>
      </w:pPr>
      <w:r>
        <w:t>Model</w:t>
      </w:r>
      <w:r w:rsidR="003A501F">
        <w:t>l</w:t>
      </w:r>
      <w:r>
        <w:t>eerimistel</w:t>
      </w:r>
      <w:r w:rsidR="004B04B1">
        <w:t xml:space="preserve"> </w:t>
      </w:r>
      <w:r>
        <w:t>kasuta</w:t>
      </w:r>
      <w:r w:rsidR="004B04B1">
        <w:t>ta</w:t>
      </w:r>
      <w:r w:rsidR="000C389B">
        <w:t xml:space="preserve">kse </w:t>
      </w:r>
      <w:r w:rsidR="004B04B1">
        <w:t xml:space="preserve">erinevaid </w:t>
      </w:r>
      <w:r w:rsidR="007C3A02">
        <w:t xml:space="preserve">molekulaar-dünaamilisi </w:t>
      </w:r>
      <w:r>
        <w:t>ansambleid</w:t>
      </w:r>
      <w:r w:rsidR="001C0790">
        <w:t xml:space="preserve"> </w:t>
      </w:r>
      <w:r w:rsidR="000D13D5">
        <w:t>saavuta</w:t>
      </w:r>
      <w:r w:rsidR="001C0790">
        <w:t xml:space="preserve">maks </w:t>
      </w:r>
      <w:r w:rsidR="00452420">
        <w:t>materjalimudeli</w:t>
      </w:r>
      <w:r w:rsidR="004B04B1">
        <w:t xml:space="preserve"> realistlik </w:t>
      </w:r>
      <w:r w:rsidR="005E2BFC">
        <w:t>käitumi</w:t>
      </w:r>
      <w:r w:rsidR="00452420">
        <w:t>n</w:t>
      </w:r>
      <w:r w:rsidR="00844F33">
        <w:t xml:space="preserve">e, </w:t>
      </w:r>
      <w:r w:rsidR="004B04B1">
        <w:t xml:space="preserve"> mi</w:t>
      </w:r>
      <w:r w:rsidR="00452420">
        <w:t>lle</w:t>
      </w:r>
      <w:r w:rsidR="00B8284F">
        <w:t xml:space="preserve"> tõepärasust </w:t>
      </w:r>
      <w:r w:rsidR="004B04B1">
        <w:t>kontrollitakse</w:t>
      </w:r>
      <w:r w:rsidR="00B8284F">
        <w:t xml:space="preserve"> t</w:t>
      </w:r>
      <w:r w:rsidR="00844F33">
        <w:t>iheduse</w:t>
      </w:r>
      <w:r w:rsidR="005E2BFC">
        <w:t xml:space="preserve"> kaudu</w:t>
      </w:r>
      <w:r w:rsidR="004B04B1">
        <w:t>.</w:t>
      </w:r>
      <w:r w:rsidR="00C90D62">
        <w:t xml:space="preserve"> </w:t>
      </w:r>
      <w:r w:rsidR="004B04B1">
        <w:t>Saadud tulemusi võrrelda</w:t>
      </w:r>
      <w:r w:rsidR="000C389B">
        <w:t xml:space="preserve">kse eksperimentaalsete katsete ja </w:t>
      </w:r>
      <w:r w:rsidR="004B04B1">
        <w:t>sarnaste tööde tulemustega.</w:t>
      </w:r>
    </w:p>
    <w:p w:rsidR="00C92CD4" w:rsidRDefault="00C92CD4">
      <w:pPr>
        <w:spacing w:before="0" w:line="276" w:lineRule="auto"/>
        <w:jc w:val="left"/>
        <w:rPr>
          <w:rFonts w:eastAsiaTheme="majorEastAsia" w:cstheme="majorBidi"/>
          <w:bCs/>
          <w:color w:val="000000" w:themeColor="text1"/>
          <w:sz w:val="32"/>
          <w:szCs w:val="28"/>
          <w:lang w:val="sq-AL"/>
        </w:rPr>
      </w:pPr>
      <w:bookmarkStart w:id="10" w:name="_Toc231118056"/>
      <w:bookmarkStart w:id="11" w:name="_Toc321348203"/>
      <w:bookmarkEnd w:id="5"/>
      <w:r>
        <w:rPr>
          <w:lang w:val="sq-AL"/>
        </w:rPr>
        <w:br w:type="page"/>
      </w:r>
    </w:p>
    <w:p w:rsidR="00C632B4" w:rsidRPr="00C3400C" w:rsidRDefault="00C632B4" w:rsidP="007D722A">
      <w:pPr>
        <w:pStyle w:val="Heading1"/>
        <w:rPr>
          <w:b/>
          <w:lang w:val="sq-AL"/>
        </w:rPr>
      </w:pPr>
      <w:bookmarkStart w:id="12" w:name="_Toc325224167"/>
      <w:r w:rsidRPr="00C3400C">
        <w:rPr>
          <w:lang w:val="sq-AL"/>
        </w:rPr>
        <w:lastRenderedPageBreak/>
        <w:t>2.   ÜLEVAADE</w:t>
      </w:r>
      <w:bookmarkEnd w:id="10"/>
      <w:bookmarkEnd w:id="11"/>
      <w:bookmarkEnd w:id="12"/>
    </w:p>
    <w:p w:rsidR="00C632B4" w:rsidRPr="00C3400C" w:rsidRDefault="00C632B4" w:rsidP="00AF1811">
      <w:pPr>
        <w:pStyle w:val="Heading2"/>
        <w:rPr>
          <w:b/>
          <w:lang w:val="sq-AL"/>
        </w:rPr>
      </w:pPr>
      <w:bookmarkStart w:id="13" w:name="_Toc230501775"/>
      <w:bookmarkStart w:id="14" w:name="_Toc231118057"/>
      <w:bookmarkStart w:id="15" w:name="_Toc321348204"/>
      <w:bookmarkStart w:id="16" w:name="_Toc325224168"/>
      <w:r w:rsidRPr="00C3400C">
        <w:rPr>
          <w:lang w:val="sq-AL"/>
        </w:rPr>
        <w:t>2.1.  Polümeersed elektrolüüdid</w:t>
      </w:r>
      <w:bookmarkEnd w:id="13"/>
      <w:bookmarkEnd w:id="14"/>
      <w:bookmarkEnd w:id="15"/>
      <w:bookmarkEnd w:id="16"/>
    </w:p>
    <w:p w:rsidR="000B2DA3" w:rsidRPr="000760AF" w:rsidRDefault="00C632B4" w:rsidP="007D722A">
      <w:r>
        <w:t>Polümeermaterjalid leiavad üha rohkem rakendust erinevates kaasaegsetes tehnoloogiates.  Näiteks prootonjuhtivaid polümeere kasutatakse kütuseelementide membraanimaterjalidena ja ioonjuhtivaid polümeere kunstlihaste valmistamiseks</w:t>
      </w:r>
      <w:r w:rsidR="00D44865">
        <w:t xml:space="preserve"> </w:t>
      </w:r>
      <w:sdt>
        <w:sdtPr>
          <w:id w:val="12661204"/>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t xml:space="preserve">. </w:t>
      </w:r>
      <w:r w:rsidRPr="0007785B">
        <w:t>1990</w:t>
      </w:r>
      <w:r w:rsidR="00551AA0">
        <w:t xml:space="preserve">. </w:t>
      </w:r>
      <w:r w:rsidRPr="0007785B">
        <w:t xml:space="preserve">aastate lõpust arendatakse </w:t>
      </w:r>
      <w:r w:rsidR="00551AA0">
        <w:t>liitiumioon-polümeerakusid</w:t>
      </w:r>
      <w:r w:rsidRPr="0007785B">
        <w:t xml:space="preserve">, mille </w:t>
      </w:r>
      <w:r>
        <w:t xml:space="preserve">tahke </w:t>
      </w:r>
      <w:r w:rsidRPr="0007785B">
        <w:t xml:space="preserve">elektrolüüt koosneb polümeeris lahustunud </w:t>
      </w:r>
      <w:r w:rsidR="00551AA0">
        <w:t xml:space="preserve">liitiumsoolast </w:t>
      </w:r>
      <w:sdt>
        <w:sdtPr>
          <w:id w:val="12661206"/>
          <w:citation/>
        </w:sdtPr>
        <w:sdtContent>
          <w:fldSimple w:instr=" CITATION Kur09 \m A \l 1061  ">
            <w:r w:rsidR="005B76C8">
              <w:rPr>
                <w:noProof/>
              </w:rPr>
              <w:t>[</w:t>
            </w:r>
            <w:hyperlink w:anchor="Kur09" w:history="1">
              <w:r w:rsidR="005B76C8" w:rsidRPr="005B76C8">
                <w:rPr>
                  <w:rStyle w:val="Heading2Char"/>
                  <w:rFonts w:eastAsiaTheme="minorHAnsi" w:cstheme="minorBidi"/>
                  <w:noProof/>
                  <w:sz w:val="24"/>
                  <w:szCs w:val="22"/>
                </w:rPr>
                <w:t>1</w:t>
              </w:r>
            </w:hyperlink>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rsidR="000760AF">
        <w:t xml:space="preserve">. </w:t>
      </w:r>
      <w:r w:rsidRPr="0007785B">
        <w:t>Li</w:t>
      </w:r>
      <w:r w:rsidR="00551AA0">
        <w:t>itium</w:t>
      </w:r>
      <w:r w:rsidRPr="0007785B">
        <w:t>soola kasutamine laengukandjana on tingitud sellest, et Li</w:t>
      </w:r>
      <w:r>
        <w:t>-ioon</w:t>
      </w:r>
      <w:r w:rsidRPr="0007785B">
        <w:t xml:space="preserve"> on ülejäänud ioonidega võrreldes mõõtmetelt väike</w:t>
      </w:r>
      <w:r w:rsidR="00FF42D4">
        <w:t xml:space="preserve">, </w:t>
      </w:r>
      <w:r w:rsidR="00551AA0">
        <w:t xml:space="preserve">kerge, liikuv, stabiilsem kui naatrium </w:t>
      </w:r>
      <w:r w:rsidRPr="0007785B">
        <w:t xml:space="preserve">ja </w:t>
      </w:r>
      <w:r w:rsidR="00FF42D4">
        <w:t xml:space="preserve">suurima elektrokeemilise </w:t>
      </w:r>
      <w:r w:rsidR="009C704D">
        <w:t>poten</w:t>
      </w:r>
      <w:r w:rsidR="007E2748">
        <w:t>t</w:t>
      </w:r>
      <w:r w:rsidR="009C704D">
        <w:t>siaaliga</w:t>
      </w:r>
      <w:r w:rsidR="00273F5B">
        <w:t xml:space="preserve"> </w:t>
      </w:r>
      <w:sdt>
        <w:sdtPr>
          <w:id w:val="12661205"/>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t xml:space="preserve">. </w:t>
      </w:r>
      <w:r w:rsidRPr="0007785B">
        <w:t>Sobivalt valitud elektroodimaterjalidega on võimalik saavutada kõrge energiatihedus</w:t>
      </w:r>
      <w:r>
        <w:t>.</w:t>
      </w:r>
    </w:p>
    <w:p w:rsidR="00C632B4" w:rsidRDefault="007A0E59" w:rsidP="007D722A">
      <w:r>
        <w:t xml:space="preserve">Üks võimalustest on </w:t>
      </w:r>
      <w:r w:rsidR="00C632B4">
        <w:t>tahketes elektrolüütides kasuta</w:t>
      </w:r>
      <w:r w:rsidR="00860E1A">
        <w:t>da</w:t>
      </w:r>
      <w:r w:rsidR="00C632B4">
        <w:t xml:space="preserve"> polümeeridena poolk</w:t>
      </w:r>
      <w:r>
        <w:t>ristallilist polüetüleeni (PE) või</w:t>
      </w:r>
      <w:r w:rsidR="00C632B4">
        <w:t xml:space="preserve"> polüetüleenoksiidi (PEO),  kuna materjalis olevad amorfsed piirkonnad on heade ioone juhtivate omadustega</w:t>
      </w:r>
      <w:sdt>
        <w:sdtPr>
          <w:id w:val="6969914"/>
          <w:citation/>
        </w:sdtPr>
        <w:sdtContent>
          <w:fldSimple w:instr=" CITATION A \m S \l 1061  ">
            <w:r w:rsidR="005B76C8">
              <w:rPr>
                <w:noProof/>
              </w:rPr>
              <w:t xml:space="preserve"> [</w:t>
            </w:r>
            <w:hyperlink w:anchor="A" w:history="1">
              <w:r w:rsidR="005B76C8" w:rsidRPr="005B76C8">
                <w:rPr>
                  <w:rStyle w:val="Heading2Char"/>
                  <w:rFonts w:eastAsiaTheme="minorHAnsi" w:cstheme="minorBidi"/>
                  <w:noProof/>
                  <w:sz w:val="24"/>
                  <w:szCs w:val="22"/>
                </w:rPr>
                <w:t>2</w:t>
              </w:r>
            </w:hyperlink>
            <w:r w:rsidR="005B76C8">
              <w:rPr>
                <w:noProof/>
              </w:rPr>
              <w:t>,</w:t>
            </w:r>
            <w:hyperlink w:anchor="S" w:history="1">
              <w:r w:rsidR="005B76C8" w:rsidRPr="005B76C8">
                <w:rPr>
                  <w:rStyle w:val="Heading2Char"/>
                  <w:rFonts w:eastAsiaTheme="minorHAnsi" w:cstheme="minorBidi"/>
                  <w:noProof/>
                  <w:sz w:val="24"/>
                  <w:szCs w:val="22"/>
                </w:rPr>
                <w:t>10</w:t>
              </w:r>
            </w:hyperlink>
            <w:r w:rsidR="005B76C8">
              <w:rPr>
                <w:noProof/>
              </w:rPr>
              <w:t>]</w:t>
            </w:r>
          </w:fldSimple>
        </w:sdtContent>
      </w:sdt>
      <w:r w:rsidR="00C632B4">
        <w:t>.</w:t>
      </w:r>
      <w:r>
        <w:t xml:space="preserve"> Gadjourova et al. näitas hiljuti, et </w:t>
      </w:r>
      <w:r w:rsidR="00C632B4">
        <w:t xml:space="preserve">ka korrapärased kristallilised piirkonnad </w:t>
      </w:r>
      <w:r>
        <w:t xml:space="preserve">võivad </w:t>
      </w:r>
      <w:r w:rsidR="00C632B4">
        <w:t>suurenda</w:t>
      </w:r>
      <w:r>
        <w:t>da</w:t>
      </w:r>
      <w:r w:rsidR="00C632B4">
        <w:t xml:space="preserve"> polümeeris </w:t>
      </w:r>
      <w:r w:rsidR="000430A8">
        <w:t>Li-</w:t>
      </w:r>
      <w:r w:rsidR="00C632B4">
        <w:t xml:space="preserve">ioonide </w:t>
      </w:r>
      <w:r w:rsidR="000430A8">
        <w:t>difusioonitegurit</w:t>
      </w:r>
      <w:r w:rsidR="00246DCA">
        <w:t xml:space="preserve"> </w:t>
      </w:r>
      <w:sdt>
        <w:sdtPr>
          <w:id w:val="6969915"/>
          <w:citation/>
        </w:sdtPr>
        <w:sdtContent>
          <w:fldSimple w:instr=" CITATION Gad01 \l 1061  ">
            <w:r w:rsidR="005B76C8">
              <w:rPr>
                <w:noProof/>
              </w:rPr>
              <w:t>[</w:t>
            </w:r>
            <w:hyperlink w:anchor="Gad01" w:history="1">
              <w:r w:rsidR="005B76C8" w:rsidRPr="005B76C8">
                <w:rPr>
                  <w:rStyle w:val="Heading2Char"/>
                  <w:rFonts w:eastAsiaTheme="minorHAnsi" w:cstheme="minorBidi"/>
                  <w:noProof/>
                  <w:sz w:val="24"/>
                  <w:szCs w:val="22"/>
                </w:rPr>
                <w:t>11</w:t>
              </w:r>
            </w:hyperlink>
            <w:r w:rsidR="005B76C8">
              <w:rPr>
                <w:noProof/>
              </w:rPr>
              <w:t>]</w:t>
            </w:r>
          </w:fldSimple>
        </w:sdtContent>
      </w:sdt>
      <w:r w:rsidR="00C632B4">
        <w:t>. Kuid vaatamata heale keemilisele ja mehaanilisele stabiilsusele on polüetüleenoksiidil põhinevatel elektrolüütidel madal ioonjuhtivus  toatemperatuuril (</w:t>
      </w:r>
      <w:r w:rsidR="00C632B4" w:rsidRPr="0007785B">
        <w:t>σ ≥ 10</w:t>
      </w:r>
      <w:r w:rsidR="00C632B4">
        <w:rPr>
          <w:vertAlign w:val="superscript"/>
        </w:rPr>
        <w:t>-8</w:t>
      </w:r>
      <w:r w:rsidR="00C632B4" w:rsidRPr="0007785B">
        <w:rPr>
          <w:vertAlign w:val="superscript"/>
        </w:rPr>
        <w:t xml:space="preserve"> </w:t>
      </w:r>
      <w:r w:rsidR="00C632B4" w:rsidRPr="0007785B">
        <w:t>Scm</w:t>
      </w:r>
      <w:r w:rsidR="00C632B4" w:rsidRPr="0007785B">
        <w:rPr>
          <w:vertAlign w:val="superscript"/>
        </w:rPr>
        <w:t>-1</w:t>
      </w:r>
      <w:r w:rsidR="00C632B4">
        <w:t>). Selleks võivad olla mitmed põhjused:</w:t>
      </w:r>
    </w:p>
    <w:p w:rsidR="00C632B4" w:rsidRDefault="007A0E59" w:rsidP="007D722A">
      <w:pPr>
        <w:pStyle w:val="ListParagraph"/>
        <w:numPr>
          <w:ilvl w:val="0"/>
          <w:numId w:val="8"/>
        </w:numPr>
      </w:pPr>
      <w:r>
        <w:t>l</w:t>
      </w:r>
      <w:r w:rsidR="00C632B4">
        <w:t>iiga suur lokaalne kristallilisus</w:t>
      </w:r>
    </w:p>
    <w:p w:rsidR="00C632B4" w:rsidRDefault="007A0E59" w:rsidP="007D722A">
      <w:pPr>
        <w:pStyle w:val="ListParagraph"/>
        <w:numPr>
          <w:ilvl w:val="0"/>
          <w:numId w:val="8"/>
        </w:numPr>
      </w:pPr>
      <w:r>
        <w:t>i</w:t>
      </w:r>
      <w:r w:rsidR="00C632B4">
        <w:t>ooni</w:t>
      </w:r>
      <w:r>
        <w:t>de liikuvuse sõltuvus polümeeri</w:t>
      </w:r>
      <w:r w:rsidR="00C632B4">
        <w:t>ahelate liikumisest</w:t>
      </w:r>
    </w:p>
    <w:p w:rsidR="00C632B4" w:rsidRDefault="007A0E59" w:rsidP="007D722A">
      <w:pPr>
        <w:pStyle w:val="ListParagraph"/>
        <w:numPr>
          <w:ilvl w:val="0"/>
          <w:numId w:val="8"/>
        </w:numPr>
      </w:pPr>
      <w:r>
        <w:t>i</w:t>
      </w:r>
      <w:r w:rsidR="00C632B4">
        <w:t>oonide klasterdumine</w:t>
      </w:r>
    </w:p>
    <w:p w:rsidR="00C632B4" w:rsidRDefault="00E1062D" w:rsidP="007D722A">
      <w:r>
        <w:t>P</w:t>
      </w:r>
      <w:r w:rsidR="00C632B4">
        <w:t>olümeerelektrolüütide</w:t>
      </w:r>
      <w:r>
        <w:t xml:space="preserve"> </w:t>
      </w:r>
      <w:r w:rsidR="00C34951">
        <w:t>kõrge</w:t>
      </w:r>
      <w:r w:rsidR="00C632B4">
        <w:t xml:space="preserve"> ioonjuhtivus</w:t>
      </w:r>
      <w:r>
        <w:t xml:space="preserve"> (</w:t>
      </w:r>
      <w:r w:rsidRPr="0007785B">
        <w:t>σ ≥ 10</w:t>
      </w:r>
      <w:r>
        <w:rPr>
          <w:vertAlign w:val="superscript"/>
        </w:rPr>
        <w:t>-4</w:t>
      </w:r>
      <w:r w:rsidRPr="0007785B">
        <w:rPr>
          <w:vertAlign w:val="superscript"/>
        </w:rPr>
        <w:t xml:space="preserve"> </w:t>
      </w:r>
      <w:r w:rsidRPr="0007785B">
        <w:t>Scm</w:t>
      </w:r>
      <w:r w:rsidRPr="0007785B">
        <w:rPr>
          <w:vertAlign w:val="superscript"/>
        </w:rPr>
        <w:t>-1</w:t>
      </w:r>
      <w:r>
        <w:t>), mis küündib</w:t>
      </w:r>
      <w:r w:rsidR="00C632B4">
        <w:t xml:space="preserve"> </w:t>
      </w:r>
      <w:r w:rsidR="00C632B4" w:rsidRPr="0007785B">
        <w:t>vedelikelektrolüütide</w:t>
      </w:r>
      <w:r w:rsidR="00C632B4">
        <w:t xml:space="preserve"> ioonjuhtivuse</w:t>
      </w:r>
      <w:r>
        <w:t xml:space="preserve"> </w:t>
      </w:r>
      <w:r w:rsidRPr="0007785B">
        <w:t>läheda</w:t>
      </w:r>
      <w:r>
        <w:t>l</w:t>
      </w:r>
      <w:r w:rsidRPr="0007785B">
        <w:t>e</w:t>
      </w:r>
      <w:r>
        <w:t>, on saavutatav vaid kõrgematel temperatuuridel (100</w:t>
      </w:r>
      <w:r w:rsidRPr="00C07242">
        <w:rPr>
          <w:rFonts w:ascii="AdvP44E6F4" w:hAnsi="AdvP44E6F4" w:cs="AdvP44E6F4"/>
          <w:sz w:val="18"/>
          <w:szCs w:val="18"/>
        </w:rPr>
        <w:t xml:space="preserve"> °C</w:t>
      </w:r>
      <w:r>
        <w:t>)</w:t>
      </w:r>
      <w:r w:rsidR="003031FF">
        <w:t>, millel polümeer on amorfne</w:t>
      </w:r>
      <w:sdt>
        <w:sdtPr>
          <w:id w:val="6977408"/>
          <w:citation/>
        </w:sdtPr>
        <w:sdtContent>
          <w:fldSimple w:instr=" CITATION Qua98 \m Sit10 \l 1061  ">
            <w:r w:rsidR="005B76C8">
              <w:rPr>
                <w:noProof/>
              </w:rPr>
              <w:t xml:space="preserve"> [</w:t>
            </w:r>
            <w:hyperlink w:anchor="Qua98" w:history="1">
              <w:r w:rsidR="005B76C8" w:rsidRPr="005B76C8">
                <w:rPr>
                  <w:rStyle w:val="Heading2Char"/>
                  <w:rFonts w:eastAsiaTheme="minorHAnsi" w:cstheme="minorBidi"/>
                  <w:noProof/>
                  <w:sz w:val="24"/>
                  <w:szCs w:val="22"/>
                </w:rPr>
                <w:t>12</w:t>
              </w:r>
            </w:hyperlink>
            <w:r w:rsidR="005B76C8">
              <w:rPr>
                <w:noProof/>
              </w:rPr>
              <w:t>,</w:t>
            </w:r>
            <w:hyperlink w:anchor="Sit10" w:history="1">
              <w:r w:rsidR="005B76C8" w:rsidRPr="005B76C8">
                <w:rPr>
                  <w:rStyle w:val="Heading2Char"/>
                  <w:rFonts w:eastAsiaTheme="minorHAnsi" w:cstheme="minorBidi"/>
                  <w:noProof/>
                  <w:sz w:val="24"/>
                  <w:szCs w:val="22"/>
                </w:rPr>
                <w:t>13</w:t>
              </w:r>
            </w:hyperlink>
            <w:r w:rsidR="005B76C8">
              <w:rPr>
                <w:noProof/>
              </w:rPr>
              <w:t>]</w:t>
            </w:r>
          </w:fldSimple>
        </w:sdtContent>
      </w:sdt>
      <w:r w:rsidR="00C632B4">
        <w:t>.</w:t>
      </w:r>
      <w:r w:rsidR="00C632B4" w:rsidRPr="00182D6F">
        <w:t xml:space="preserve"> </w:t>
      </w:r>
      <w:r w:rsidR="00C34951">
        <w:t>T</w:t>
      </w:r>
      <w:r w:rsidR="00D620FF">
        <w:t>oatemperatuuri</w:t>
      </w:r>
      <w:r w:rsidR="00C34951">
        <w:t xml:space="preserve"> lähedal</w:t>
      </w:r>
      <w:r w:rsidR="003031FF">
        <w:t xml:space="preserve"> </w:t>
      </w:r>
      <w:r w:rsidR="00C34951">
        <w:t>arvestatava</w:t>
      </w:r>
      <w:r w:rsidR="003031FF">
        <w:t xml:space="preserve"> ioonjuhtivus</w:t>
      </w:r>
      <w:r w:rsidR="00697FD4">
        <w:t xml:space="preserve">e </w:t>
      </w:r>
      <w:r w:rsidR="00C34951">
        <w:t>tagamiseks</w:t>
      </w:r>
      <w:r w:rsidR="00457696">
        <w:t xml:space="preserve">, </w:t>
      </w:r>
      <w:r w:rsidR="003031FF">
        <w:t xml:space="preserve">on </w:t>
      </w:r>
      <w:r w:rsidR="00457696">
        <w:t xml:space="preserve">võimalus </w:t>
      </w:r>
      <w:r w:rsidR="00C632B4">
        <w:t>kasutada polümeeride vahel ristahelaid, moodustades neist võrke või lisada elektrolüüti plastifikaatoreid ja nanoosakesi</w:t>
      </w:r>
      <w:r w:rsidR="00457696">
        <w:t>, vähendades nii lokaalset korrapära (kristallilisust)</w:t>
      </w:r>
      <w:r w:rsidR="00C05C1D">
        <w:t xml:space="preserve"> </w:t>
      </w:r>
      <w:sdt>
        <w:sdtPr>
          <w:id w:val="6977409"/>
          <w:citation/>
        </w:sdtPr>
        <w:sdtContent>
          <w:fldSimple w:instr=" CITATION Qua98 \m C \l 1061  ">
            <w:r w:rsidR="005B76C8">
              <w:rPr>
                <w:noProof/>
              </w:rPr>
              <w:t>[</w:t>
            </w:r>
            <w:hyperlink w:anchor="Qua98" w:history="1">
              <w:r w:rsidR="005B76C8" w:rsidRPr="005B76C8">
                <w:rPr>
                  <w:rStyle w:val="Heading2Char"/>
                  <w:rFonts w:eastAsiaTheme="minorHAnsi" w:cstheme="minorBidi"/>
                  <w:noProof/>
                  <w:sz w:val="24"/>
                  <w:szCs w:val="22"/>
                </w:rPr>
                <w:t>12</w:t>
              </w:r>
            </w:hyperlink>
            <w:r w:rsidR="005B76C8">
              <w:rPr>
                <w:noProof/>
              </w:rPr>
              <w:t>,</w:t>
            </w:r>
            <w:hyperlink w:anchor="C" w:history="1">
              <w:r w:rsidR="005B76C8" w:rsidRPr="005B76C8">
                <w:rPr>
                  <w:rStyle w:val="Heading2Char"/>
                  <w:rFonts w:eastAsiaTheme="minorHAnsi" w:cstheme="minorBidi"/>
                  <w:noProof/>
                  <w:sz w:val="24"/>
                  <w:szCs w:val="22"/>
                </w:rPr>
                <w:t>14</w:t>
              </w:r>
            </w:hyperlink>
            <w:r w:rsidR="005B76C8">
              <w:rPr>
                <w:noProof/>
              </w:rPr>
              <w:t>]</w:t>
            </w:r>
          </w:fldSimple>
        </w:sdtContent>
      </w:sdt>
      <w:r w:rsidR="00C632B4">
        <w:t xml:space="preserve">. </w:t>
      </w:r>
      <w:r w:rsidR="00A74617">
        <w:t>V</w:t>
      </w:r>
      <w:r w:rsidR="00C632B4" w:rsidRPr="00EA7AB5">
        <w:t>älja</w:t>
      </w:r>
      <w:r w:rsidR="00A74617">
        <w:t xml:space="preserve"> on</w:t>
      </w:r>
      <w:r w:rsidR="00C632B4" w:rsidRPr="00EA7AB5">
        <w:t xml:space="preserve"> töötatud </w:t>
      </w:r>
      <w:r w:rsidR="00B5662F">
        <w:t xml:space="preserve">arvukal määral </w:t>
      </w:r>
      <w:r w:rsidR="00C632B4" w:rsidRPr="00EA7AB5">
        <w:t>erinevaid polümeeri</w:t>
      </w:r>
      <w:r w:rsidR="00C632B4">
        <w:t xml:space="preserve"> ja </w:t>
      </w:r>
      <w:r w:rsidR="00C632B4" w:rsidRPr="00EA7AB5">
        <w:t>soolade komplekse</w:t>
      </w:r>
      <w:r w:rsidR="00D60EB3">
        <w:t>, mis enamjaolt</w:t>
      </w:r>
      <w:r w:rsidR="00A74617">
        <w:t xml:space="preserve"> j</w:t>
      </w:r>
      <w:r w:rsidR="00C632B4" w:rsidRPr="00EA7AB5">
        <w:t>ag</w:t>
      </w:r>
      <w:r w:rsidR="00A74617">
        <w:t>unevad</w:t>
      </w:r>
      <w:r w:rsidR="00C632B4" w:rsidRPr="00EA7AB5">
        <w:t xml:space="preserve"> kolme </w:t>
      </w:r>
      <w:r w:rsidR="00D60EB3">
        <w:t xml:space="preserve">suurde </w:t>
      </w:r>
      <w:r w:rsidR="00C632B4" w:rsidRPr="00EA7AB5">
        <w:t>klassi</w:t>
      </w:r>
      <w:r w:rsidR="0032614C">
        <w:t>:</w:t>
      </w:r>
    </w:p>
    <w:p w:rsidR="0032614C" w:rsidRDefault="0032614C" w:rsidP="0032614C">
      <w:pPr>
        <w:pStyle w:val="ListParagraph"/>
        <w:numPr>
          <w:ilvl w:val="0"/>
          <w:numId w:val="13"/>
        </w:numPr>
      </w:pPr>
      <w:r>
        <w:t>kuivad polümeersed elektrolüüdid</w:t>
      </w:r>
    </w:p>
    <w:p w:rsidR="0032614C" w:rsidRDefault="0032614C" w:rsidP="0032614C">
      <w:pPr>
        <w:pStyle w:val="ListParagraph"/>
        <w:numPr>
          <w:ilvl w:val="0"/>
          <w:numId w:val="13"/>
        </w:numPr>
      </w:pPr>
      <w:r>
        <w:t>geelpolümeer elektrolüüdid</w:t>
      </w:r>
    </w:p>
    <w:p w:rsidR="0032614C" w:rsidRDefault="0032614C" w:rsidP="0032614C">
      <w:pPr>
        <w:pStyle w:val="ListParagraph"/>
        <w:numPr>
          <w:ilvl w:val="0"/>
          <w:numId w:val="13"/>
        </w:numPr>
      </w:pPr>
      <w:r>
        <w:t>komposiitelektrolüüdid</w:t>
      </w:r>
    </w:p>
    <w:p w:rsidR="00C632B4" w:rsidRDefault="00C632B4" w:rsidP="005B76C8">
      <w:pPr>
        <w:pStyle w:val="Heading3"/>
        <w:spacing w:after="240"/>
        <w:rPr>
          <w:rFonts w:cs="Times New Roman"/>
        </w:rPr>
      </w:pPr>
      <w:bookmarkStart w:id="17" w:name="_Toc230501777"/>
      <w:bookmarkStart w:id="18" w:name="_Toc231118059"/>
      <w:bookmarkStart w:id="19" w:name="_Toc321348205"/>
      <w:bookmarkStart w:id="20" w:name="_Toc325224169"/>
      <w:r>
        <w:lastRenderedPageBreak/>
        <w:t>2.1</w:t>
      </w:r>
      <w:r w:rsidRPr="00DC5908">
        <w:t>.1.  Kuivad polümeersed elektrolüüdid</w:t>
      </w:r>
      <w:bookmarkEnd w:id="17"/>
      <w:bookmarkEnd w:id="18"/>
      <w:bookmarkEnd w:id="19"/>
      <w:bookmarkEnd w:id="20"/>
      <w:r w:rsidRPr="00DC5908">
        <w:rPr>
          <w:rFonts w:cs="Times New Roman"/>
        </w:rPr>
        <w:t xml:space="preserve"> </w:t>
      </w:r>
    </w:p>
    <w:p w:rsidR="000467FC" w:rsidRDefault="00C632B4" w:rsidP="005B76C8">
      <w:pPr>
        <w:spacing w:before="200" w:after="240"/>
      </w:pPr>
      <w:r w:rsidRPr="003923C5">
        <w:t xml:space="preserve">Kuivad tahked polümeersed elektrolüüdid </w:t>
      </w:r>
      <w:r w:rsidR="0003111B">
        <w:t>on tuntud ka nime all</w:t>
      </w:r>
      <w:r w:rsidRPr="003923C5">
        <w:t xml:space="preserve"> tavalised polümeer</w:t>
      </w:r>
      <w:r>
        <w:t>i ja</w:t>
      </w:r>
      <w:r w:rsidRPr="003923C5">
        <w:t xml:space="preserve"> soola kompleksid.  Antud klassi tuntuimad esindajad on </w:t>
      </w:r>
      <w:r>
        <w:t>suure</w:t>
      </w:r>
      <w:r w:rsidRPr="003923C5">
        <w:t xml:space="preserve"> molekulaarse </w:t>
      </w:r>
      <w:r>
        <w:t>massiga</w:t>
      </w:r>
      <w:r w:rsidRPr="003923C5">
        <w:t xml:space="preserve"> polüetüleenoksiid (PEO) ja polüpropüleenoksiid</w:t>
      </w:r>
      <w:r>
        <w:t xml:space="preserve"> </w:t>
      </w:r>
      <w:r w:rsidR="00D60EB3">
        <w:t>(PPO) kompleksis erinevate l</w:t>
      </w:r>
      <w:r>
        <w:t>iitium</w:t>
      </w:r>
      <w:r w:rsidRPr="003923C5">
        <w:t>sooladega</w:t>
      </w:r>
      <w:r w:rsidR="002539C0">
        <w:t xml:space="preserve"> </w:t>
      </w:r>
      <w:sdt>
        <w:sdtPr>
          <w:id w:val="177890079"/>
          <w:citation/>
        </w:sdtPr>
        <w:sdtContent>
          <w:fldSimple w:instr=" CITATION A \m T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hyperlink w:anchor="T" w:history="1">
              <w:r w:rsidR="005B76C8" w:rsidRPr="005B76C8">
                <w:rPr>
                  <w:rStyle w:val="Heading2Char"/>
                  <w:rFonts w:eastAsiaTheme="minorHAnsi" w:cstheme="minorBidi"/>
                  <w:noProof/>
                  <w:sz w:val="24"/>
                  <w:szCs w:val="22"/>
                </w:rPr>
                <w:t>15</w:t>
              </w:r>
            </w:hyperlink>
            <w:r w:rsidR="005B76C8">
              <w:rPr>
                <w:noProof/>
              </w:rPr>
              <w:t>]</w:t>
            </w:r>
          </w:fldSimple>
        </w:sdtContent>
      </w:sdt>
      <w:r w:rsidRPr="003923C5">
        <w:t>.</w:t>
      </w:r>
      <w:r>
        <w:t xml:space="preserve"> </w:t>
      </w:r>
      <w:r w:rsidRPr="003923C5">
        <w:t xml:space="preserve">Uurimustöödes on </w:t>
      </w:r>
      <w:r w:rsidR="000F6F6E">
        <w:t xml:space="preserve">liitiumsooladena </w:t>
      </w:r>
      <w:r w:rsidRPr="003923C5">
        <w:t xml:space="preserve">enamasti käsitletud </w:t>
      </w:r>
      <w:r w:rsidR="000F6F6E">
        <w:t>Li</w:t>
      </w:r>
      <w:r w:rsidRPr="003923C5">
        <w:t>ClO</w:t>
      </w:r>
      <w:r w:rsidRPr="003923C5">
        <w:rPr>
          <w:vertAlign w:val="subscript"/>
        </w:rPr>
        <w:t>4</w:t>
      </w:r>
      <w:r w:rsidR="000F6F6E">
        <w:t>,</w:t>
      </w:r>
      <w:r w:rsidR="000F6F6E">
        <w:rPr>
          <w:vertAlign w:val="subscript"/>
        </w:rPr>
        <w:t xml:space="preserve"> </w:t>
      </w:r>
      <w:r w:rsidR="000F6F6E">
        <w:t>Li</w:t>
      </w:r>
      <w:r w:rsidRPr="003923C5">
        <w:t>BF</w:t>
      </w:r>
      <w:r w:rsidRPr="003923C5">
        <w:rPr>
          <w:vertAlign w:val="subscript"/>
        </w:rPr>
        <w:t>4</w:t>
      </w:r>
      <w:r w:rsidRPr="003923C5">
        <w:t xml:space="preserve"> ning </w:t>
      </w:r>
      <w:r w:rsidR="000F6F6E">
        <w:t>Li</w:t>
      </w:r>
      <w:r w:rsidRPr="003923C5">
        <w:t>PF</w:t>
      </w:r>
      <w:r w:rsidRPr="003923C5">
        <w:rPr>
          <w:vertAlign w:val="subscript"/>
        </w:rPr>
        <w:t>6</w:t>
      </w:r>
      <w:r w:rsidR="0004616A">
        <w:rPr>
          <w:vertAlign w:val="subscript"/>
        </w:rPr>
        <w:t xml:space="preserve"> </w:t>
      </w:r>
      <w:r w:rsidR="00C85A77">
        <w:t xml:space="preserve">kuna </w:t>
      </w:r>
      <w:r w:rsidR="000F6F6E">
        <w:t>polümeeriahela</w:t>
      </w:r>
      <w:r w:rsidR="00AF3777">
        <w:t>te</w:t>
      </w:r>
      <w:r w:rsidR="004932EF">
        <w:t xml:space="preserve">l </w:t>
      </w:r>
      <w:r w:rsidR="000F6F6E">
        <w:t xml:space="preserve">on omadus neid </w:t>
      </w:r>
      <w:r w:rsidR="00475C5B">
        <w:t xml:space="preserve">kergesti </w:t>
      </w:r>
      <w:r w:rsidR="000F6F6E">
        <w:t xml:space="preserve">ioonideks lahustada ning </w:t>
      </w:r>
      <w:r w:rsidR="0004616A">
        <w:t>tekkinud anioonid on suuremõõtmelised ja</w:t>
      </w:r>
      <w:r w:rsidR="0004616A" w:rsidRPr="0004616A">
        <w:t xml:space="preserve"> </w:t>
      </w:r>
      <w:r w:rsidR="0004616A">
        <w:t>madala negatiivse laengutiheduga</w:t>
      </w:r>
      <w:sdt>
        <w:sdtPr>
          <w:id w:val="15319285"/>
          <w:citation/>
        </w:sdtPr>
        <w:sdtContent>
          <w:fldSimple w:instr=" CITATION AH \l 1061  ">
            <w:r w:rsidR="005B76C8">
              <w:rPr>
                <w:noProof/>
              </w:rPr>
              <w:t xml:space="preserve"> [</w:t>
            </w:r>
            <w:hyperlink w:anchor="AH" w:history="1">
              <w:r w:rsidR="005B76C8" w:rsidRPr="005B76C8">
                <w:rPr>
                  <w:rStyle w:val="Heading2Char"/>
                  <w:rFonts w:eastAsiaTheme="minorHAnsi" w:cstheme="minorBidi"/>
                  <w:noProof/>
                  <w:sz w:val="24"/>
                  <w:szCs w:val="22"/>
                </w:rPr>
                <w:t>16</w:t>
              </w:r>
            </w:hyperlink>
            <w:r w:rsidR="005B76C8">
              <w:rPr>
                <w:noProof/>
              </w:rPr>
              <w:t>]</w:t>
            </w:r>
          </w:fldSimple>
        </w:sdtContent>
      </w:sdt>
      <w:r w:rsidR="000F6F6E">
        <w:t xml:space="preserve">. </w:t>
      </w:r>
      <w:r w:rsidR="000D347A">
        <w:t xml:space="preserve">Siiski </w:t>
      </w:r>
      <w:r w:rsidR="008B67A8">
        <w:t xml:space="preserve">on </w:t>
      </w:r>
      <w:r w:rsidR="00DF447F">
        <w:t xml:space="preserve">vähetõenäoline, et </w:t>
      </w:r>
      <w:r w:rsidR="00BC7C4E">
        <w:t>Li</w:t>
      </w:r>
      <w:r w:rsidR="00BC7C4E" w:rsidRPr="003923C5">
        <w:t>ClO</w:t>
      </w:r>
      <w:r w:rsidR="00BC7C4E" w:rsidRPr="003923C5">
        <w:rPr>
          <w:vertAlign w:val="subscript"/>
        </w:rPr>
        <w:t>4</w:t>
      </w:r>
      <w:r w:rsidR="00BC7C4E">
        <w:rPr>
          <w:vertAlign w:val="subscript"/>
        </w:rPr>
        <w:t xml:space="preserve"> </w:t>
      </w:r>
      <w:r w:rsidR="000467FC">
        <w:t xml:space="preserve"> </w:t>
      </w:r>
      <w:r w:rsidR="00DF447F">
        <w:t xml:space="preserve">võetakse </w:t>
      </w:r>
      <w:r w:rsidR="008B67A8">
        <w:t>kommertsiaalseks kasutus</w:t>
      </w:r>
      <w:r w:rsidR="00DF447F">
        <w:t>e</w:t>
      </w:r>
      <w:r w:rsidR="008B67A8">
        <w:t>ks</w:t>
      </w:r>
      <w:r w:rsidR="000467FC">
        <w:t xml:space="preserve">, </w:t>
      </w:r>
      <w:r w:rsidR="000D347A">
        <w:t>kuna tekkinud ClO</w:t>
      </w:r>
      <w:r w:rsidR="000D347A">
        <w:rPr>
          <w:vertAlign w:val="subscript"/>
        </w:rPr>
        <w:t>4</w:t>
      </w:r>
      <w:r w:rsidR="000D347A">
        <w:rPr>
          <w:vertAlign w:val="superscript"/>
        </w:rPr>
        <w:t>-</w:t>
      </w:r>
      <w:r w:rsidR="000D347A">
        <w:t xml:space="preserve"> on </w:t>
      </w:r>
      <w:r w:rsidR="00A00E09">
        <w:t>liiga plahvatusohtlik</w:t>
      </w:r>
      <w:sdt>
        <w:sdtPr>
          <w:id w:val="15319288"/>
          <w:citation/>
        </w:sdtPr>
        <w:sdtContent>
          <w:fldSimple w:instr=" CITATION And01 \l 1061  ">
            <w:r w:rsidR="005B76C8">
              <w:rPr>
                <w:noProof/>
              </w:rPr>
              <w:t xml:space="preserve"> [</w:t>
            </w:r>
            <w:hyperlink w:anchor="And01" w:history="1">
              <w:r w:rsidR="005B76C8" w:rsidRPr="005B76C8">
                <w:rPr>
                  <w:rStyle w:val="Heading2Char"/>
                  <w:rFonts w:eastAsiaTheme="minorHAnsi" w:cstheme="minorBidi"/>
                  <w:noProof/>
                  <w:sz w:val="24"/>
                  <w:szCs w:val="22"/>
                </w:rPr>
                <w:t>17</w:t>
              </w:r>
            </w:hyperlink>
            <w:r w:rsidR="005B76C8">
              <w:rPr>
                <w:noProof/>
              </w:rPr>
              <w:t>]</w:t>
            </w:r>
          </w:fldSimple>
        </w:sdtContent>
      </w:sdt>
      <w:r w:rsidR="00A00E09">
        <w:t>.</w:t>
      </w:r>
      <w:r w:rsidR="00A00E09">
        <w:rPr>
          <w:vertAlign w:val="subscript"/>
        </w:rPr>
        <w:t xml:space="preserve"> </w:t>
      </w:r>
      <w:r w:rsidR="000D347A">
        <w:t>K</w:t>
      </w:r>
      <w:r>
        <w:t>äesolevas töös</w:t>
      </w:r>
      <w:r w:rsidR="000D347A">
        <w:t xml:space="preserve"> </w:t>
      </w:r>
      <w:r w:rsidR="006A6E12">
        <w:t>käsitletakse</w:t>
      </w:r>
      <w:r w:rsidR="00A00E09" w:rsidRPr="00A00E09">
        <w:t xml:space="preserve"> </w:t>
      </w:r>
      <w:r w:rsidR="000D347A">
        <w:t>liitiumsoolana</w:t>
      </w:r>
      <w:r w:rsidR="00A00E09">
        <w:t xml:space="preserve"> Li</w:t>
      </w:r>
      <w:r w:rsidR="00A00E09" w:rsidRPr="003923C5">
        <w:t>PF</w:t>
      </w:r>
      <w:r w:rsidR="00A00E09" w:rsidRPr="003923C5">
        <w:rPr>
          <w:vertAlign w:val="subscript"/>
        </w:rPr>
        <w:t>6</w:t>
      </w:r>
      <w:r w:rsidRPr="003923C5">
        <w:t>.</w:t>
      </w:r>
      <w:r>
        <w:t xml:space="preserve"> </w:t>
      </w:r>
    </w:p>
    <w:p w:rsidR="005B76C8" w:rsidRDefault="005B76C8" w:rsidP="005B76C8">
      <w:pPr>
        <w:spacing w:before="0" w:after="0"/>
      </w:pPr>
    </w:p>
    <w:p w:rsidR="00C632B4" w:rsidRDefault="00C632B4" w:rsidP="005B76C8">
      <w:pPr>
        <w:spacing w:before="0" w:after="0"/>
      </w:pPr>
      <w:r>
        <w:t>Eelnimetatud polümeer</w:t>
      </w:r>
      <w:r w:rsidR="00E62A8A">
        <w:t xml:space="preserve">e sisaldavatel </w:t>
      </w:r>
      <w:r>
        <w:t>elektrolüütidel on kõrge mehaaniline stabiilsus, mis võimaldab neid</w:t>
      </w:r>
      <w:r w:rsidR="00E62A8A">
        <w:t xml:space="preserve"> painutada, rullida või voltida. Selliselt</w:t>
      </w:r>
      <w:r>
        <w:t xml:space="preserve"> </w:t>
      </w:r>
      <w:r w:rsidR="00E62A8A">
        <w:t xml:space="preserve">saavutatud </w:t>
      </w:r>
      <w:r>
        <w:t xml:space="preserve">suurem </w:t>
      </w:r>
      <w:r w:rsidRPr="00620C82">
        <w:t>kokkupuutepindala elektroodi</w:t>
      </w:r>
      <w:r>
        <w:t>dega</w:t>
      </w:r>
      <w:r w:rsidR="00BC7C4E">
        <w:t xml:space="preserve"> tõstab tunduvalt aku jõudlust</w:t>
      </w:r>
      <w:r>
        <w:t xml:space="preserve">. </w:t>
      </w:r>
      <w:r w:rsidR="00BC7C4E">
        <w:t>Tahkete elektrolüütide kasutamine on</w:t>
      </w:r>
      <w:r w:rsidR="00E62A8A">
        <w:t xml:space="preserve"> ka</w:t>
      </w:r>
      <w:r w:rsidR="000467FC">
        <w:t xml:space="preserve"> suur samm ohutuse poole, kui</w:t>
      </w:r>
      <w:r w:rsidR="00420B10">
        <w:t xml:space="preserve"> </w:t>
      </w:r>
      <w:r>
        <w:t xml:space="preserve">kergestisüttivad ja </w:t>
      </w:r>
      <w:r w:rsidR="00420B10">
        <w:t>juhtumisivõimalik,</w:t>
      </w:r>
      <w:r>
        <w:t xml:space="preserve"> et lekkivad vedelikelektrolüüdid vahetatakse välja vähem toksiliste tahkete materjalide vastu</w:t>
      </w:r>
      <w:r w:rsidR="002539C0">
        <w:t xml:space="preserve"> </w:t>
      </w:r>
      <w:sdt>
        <w:sdtPr>
          <w:id w:val="177890080"/>
          <w:citation/>
        </w:sdtPr>
        <w:sdtContent>
          <w:fldSimple w:instr=" CITATION K \l 1061  ">
            <w:r w:rsidR="005B76C8">
              <w:rPr>
                <w:noProof/>
              </w:rPr>
              <w:t>[</w:t>
            </w:r>
            <w:hyperlink w:anchor="K" w:history="1">
              <w:r w:rsidR="005B76C8" w:rsidRPr="005B76C8">
                <w:rPr>
                  <w:rStyle w:val="Heading2Char"/>
                  <w:rFonts w:eastAsiaTheme="minorHAnsi" w:cstheme="minorBidi"/>
                  <w:noProof/>
                  <w:sz w:val="24"/>
                  <w:szCs w:val="22"/>
                </w:rPr>
                <w:t>18</w:t>
              </w:r>
            </w:hyperlink>
            <w:r w:rsidR="005B76C8">
              <w:rPr>
                <w:noProof/>
              </w:rPr>
              <w:t>]</w:t>
            </w:r>
          </w:fldSimple>
        </w:sdtContent>
      </w:sdt>
      <w:r>
        <w:t xml:space="preserve">.  </w:t>
      </w:r>
    </w:p>
    <w:p w:rsidR="00C632B4" w:rsidRDefault="00316F9F" w:rsidP="007D722A">
      <w:r>
        <w:t>T</w:t>
      </w:r>
      <w:r w:rsidR="00C632B4" w:rsidRPr="003923C5">
        <w:t>oatemperatuuril aga</w:t>
      </w:r>
      <w:r w:rsidR="00C632B4">
        <w:t xml:space="preserve"> </w:t>
      </w:r>
      <w:r w:rsidR="00C632B4" w:rsidRPr="003923C5">
        <w:t xml:space="preserve">käsitletavate elektrolüütide ioonjuhtivus </w:t>
      </w:r>
      <w:r w:rsidR="00C632B4">
        <w:t>(10</w:t>
      </w:r>
      <w:r w:rsidR="00C632B4">
        <w:rPr>
          <w:vertAlign w:val="superscript"/>
        </w:rPr>
        <w:t>-6</w:t>
      </w:r>
      <w:r w:rsidR="00C632B4">
        <w:t>…10</w:t>
      </w:r>
      <w:r w:rsidR="00C632B4">
        <w:rPr>
          <w:vertAlign w:val="superscript"/>
        </w:rPr>
        <w:t xml:space="preserve">-7 </w:t>
      </w:r>
      <w:r w:rsidR="00C632B4">
        <w:t>Scm</w:t>
      </w:r>
      <w:r w:rsidR="00C632B4">
        <w:rPr>
          <w:vertAlign w:val="superscript"/>
        </w:rPr>
        <w:t>-1</w:t>
      </w:r>
      <w:r w:rsidR="00C632B4">
        <w:t xml:space="preserve">) praktilisi vajadusi </w:t>
      </w:r>
      <w:r w:rsidR="00C632B4" w:rsidRPr="003923C5">
        <w:t>ei rahulda</w:t>
      </w:r>
      <w:r w:rsidR="002C15BC">
        <w:t>.</w:t>
      </w:r>
      <w:r w:rsidR="00C632B4">
        <w:t xml:space="preserve"> </w:t>
      </w:r>
      <w:r w:rsidR="002C15BC">
        <w:t>M</w:t>
      </w:r>
      <w:r w:rsidR="00C632B4">
        <w:t xml:space="preserve">istõttu </w:t>
      </w:r>
      <w:r w:rsidR="00C632B4" w:rsidRPr="003923C5">
        <w:t>jätkub uute polümeer</w:t>
      </w:r>
      <w:r w:rsidR="00C632B4">
        <w:t>sete</w:t>
      </w:r>
      <w:r w:rsidR="00C632B4" w:rsidRPr="003923C5">
        <w:t xml:space="preserve"> struktuuride </w:t>
      </w:r>
      <w:r w:rsidR="00C632B4">
        <w:t xml:space="preserve">välja </w:t>
      </w:r>
      <w:r w:rsidR="00C632B4" w:rsidRPr="003923C5">
        <w:t>aren</w:t>
      </w:r>
      <w:r w:rsidR="00C632B4">
        <w:t>damine, mille</w:t>
      </w:r>
      <w:r w:rsidR="00C632B4" w:rsidRPr="003923C5">
        <w:t xml:space="preserve"> ü</w:t>
      </w:r>
      <w:r w:rsidR="00C632B4">
        <w:t>he</w:t>
      </w:r>
      <w:r w:rsidR="00C632B4" w:rsidRPr="003923C5">
        <w:t>ks võimalik</w:t>
      </w:r>
      <w:r w:rsidR="00E1062D">
        <w:t>u</w:t>
      </w:r>
      <w:r w:rsidR="00C632B4">
        <w:t>ks</w:t>
      </w:r>
      <w:r w:rsidR="00C632B4" w:rsidRPr="003923C5">
        <w:t xml:space="preserve"> suun</w:t>
      </w:r>
      <w:r w:rsidR="00C632B4">
        <w:t>aks</w:t>
      </w:r>
      <w:r w:rsidR="002C15BC">
        <w:t xml:space="preserve">, </w:t>
      </w:r>
      <w:r w:rsidR="00C632B4" w:rsidRPr="003923C5">
        <w:t>oleks kopolümeerid</w:t>
      </w:r>
      <w:r w:rsidR="00C632B4">
        <w:t>e kasutamine</w:t>
      </w:r>
      <w:r w:rsidR="00283200">
        <w:t xml:space="preserve"> </w:t>
      </w:r>
      <w:sdt>
        <w:sdtPr>
          <w:id w:val="177890084"/>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rsidR="002C15BC">
        <w:t>, mida uuritakse ka käesolevas töös.</w:t>
      </w:r>
    </w:p>
    <w:p w:rsidR="005B76C8" w:rsidRPr="00C652B0" w:rsidRDefault="005B76C8" w:rsidP="007D722A"/>
    <w:p w:rsidR="00C632B4" w:rsidRPr="0019037C" w:rsidRDefault="00C632B4" w:rsidP="005B76C8">
      <w:pPr>
        <w:pStyle w:val="Heading3"/>
        <w:spacing w:after="240"/>
      </w:pPr>
      <w:bookmarkStart w:id="21" w:name="_Toc230501778"/>
      <w:bookmarkStart w:id="22" w:name="_Toc231118060"/>
      <w:bookmarkStart w:id="23" w:name="_Toc321348206"/>
      <w:bookmarkStart w:id="24" w:name="_Toc325224170"/>
      <w:r>
        <w:t>2.1</w:t>
      </w:r>
      <w:r w:rsidRPr="0019037C">
        <w:t>.2.  Geelpolümeer elektrolüüdid</w:t>
      </w:r>
      <w:bookmarkEnd w:id="21"/>
      <w:bookmarkEnd w:id="22"/>
      <w:bookmarkEnd w:id="23"/>
      <w:bookmarkEnd w:id="24"/>
    </w:p>
    <w:p w:rsidR="00C632B4" w:rsidRDefault="00C632B4" w:rsidP="005B76C8">
      <w:pPr>
        <w:spacing w:after="240"/>
      </w:pPr>
      <w:r>
        <w:t>Üks enamlevinud viise, kuidas polümeerelektrolüütide hea joonjuhtivus (10</w:t>
      </w:r>
      <w:r>
        <w:rPr>
          <w:vertAlign w:val="superscript"/>
        </w:rPr>
        <w:t xml:space="preserve">-4 </w:t>
      </w:r>
      <w:r>
        <w:t>Scm</w:t>
      </w:r>
      <w:r>
        <w:rPr>
          <w:vertAlign w:val="superscript"/>
        </w:rPr>
        <w:t>-1</w:t>
      </w:r>
      <w:r>
        <w:t>) tuua kõrgetelt temperatuuridelt toatemperatuuri lähedale on lisades polümeersesse materjali orgaanilisi lahusteid või vedelikplastifikaatoreid</w:t>
      </w:r>
      <w:r w:rsidR="0063553E">
        <w:t xml:space="preserve"> </w:t>
      </w:r>
      <w:sdt>
        <w:sdtPr>
          <w:id w:val="321157"/>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t>. Kirjanduse põhjal võib öelda, et enamlevinud lisanditena ksutatakse dimetüülkarbonaati (DMC), dietüülkarbonaati (DEC), propüleenkarbonaati (PC) ja teisi sarnaseid aineid, millede sulamistemperatuur on alla nulli või selle lähedal</w:t>
      </w:r>
      <w:r w:rsidR="0063553E">
        <w:t xml:space="preserve"> </w:t>
      </w:r>
      <w:sdt>
        <w:sdtPr>
          <w:id w:val="321158"/>
          <w:citation/>
        </w:sdtPr>
        <w:sdtContent>
          <w:fldSimple w:instr=" CITATION A \m Kat01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hyperlink w:anchor="Kat01" w:history="1">
              <w:r w:rsidR="005B76C8" w:rsidRPr="005B76C8">
                <w:rPr>
                  <w:rStyle w:val="Heading2Char"/>
                  <w:rFonts w:eastAsiaTheme="minorHAnsi" w:cstheme="minorBidi"/>
                  <w:noProof/>
                  <w:sz w:val="24"/>
                  <w:szCs w:val="22"/>
                </w:rPr>
                <w:t>19</w:t>
              </w:r>
            </w:hyperlink>
            <w:r w:rsidR="005B76C8">
              <w:rPr>
                <w:noProof/>
              </w:rPr>
              <w:t>]</w:t>
            </w:r>
          </w:fldSimple>
        </w:sdtContent>
      </w:sdt>
      <w:r>
        <w:t xml:space="preserve">. </w:t>
      </w:r>
      <w:r w:rsidRPr="003923C5">
        <w:t>Geelpolümeer-elektrolüüdid või plasti</w:t>
      </w:r>
      <w:r>
        <w:t>f</w:t>
      </w:r>
      <w:r w:rsidRPr="003923C5">
        <w:t>i</w:t>
      </w:r>
      <w:r>
        <w:t>t</w:t>
      </w:r>
      <w:r w:rsidRPr="003923C5">
        <w:t>seeritud polümeerelektrolüüdid</w:t>
      </w:r>
      <w:r>
        <w:t xml:space="preserve"> on</w:t>
      </w:r>
      <w:r w:rsidRPr="003923C5">
        <w:t xml:space="preserve"> oma olekult vedeliku ja tahkise vahepealsed, omades seega nii tahkistele kui vedelikele iseloomulikke omadusi</w:t>
      </w:r>
      <w:r w:rsidR="0063553E">
        <w:t xml:space="preserve"> </w:t>
      </w:r>
      <w:sdt>
        <w:sdtPr>
          <w:id w:val="321159"/>
          <w:citation/>
        </w:sdtPr>
        <w:sdtContent>
          <w:fldSimple w:instr=" CITATION B \l 1061 ">
            <w:r w:rsidR="005B76C8">
              <w:rPr>
                <w:noProof/>
              </w:rPr>
              <w:t>[</w:t>
            </w:r>
            <w:hyperlink w:anchor="B" w:history="1">
              <w:r w:rsidR="005B76C8" w:rsidRPr="005B76C8">
                <w:rPr>
                  <w:rStyle w:val="Heading2Char"/>
                  <w:rFonts w:eastAsiaTheme="minorHAnsi" w:cstheme="minorBidi"/>
                  <w:noProof/>
                  <w:sz w:val="24"/>
                  <w:szCs w:val="22"/>
                </w:rPr>
                <w:t>20</w:t>
              </w:r>
            </w:hyperlink>
            <w:r w:rsidR="005B76C8">
              <w:rPr>
                <w:noProof/>
              </w:rPr>
              <w:t>]</w:t>
            </w:r>
          </w:fldSimple>
        </w:sdtContent>
      </w:sdt>
      <w:r w:rsidRPr="003923C5">
        <w:t xml:space="preserve">. Selline duaalne </w:t>
      </w:r>
      <w:r>
        <w:t>iseloom</w:t>
      </w:r>
      <w:r w:rsidRPr="003923C5">
        <w:t xml:space="preserve"> muudab geelelektrolüüdid unikaalseks </w:t>
      </w:r>
      <w:r>
        <w:t xml:space="preserve">mistõttu antud materjalide edasiarendus on tähtsal kohal. </w:t>
      </w:r>
      <w:r w:rsidRPr="003923C5">
        <w:t xml:space="preserve">Siiski </w:t>
      </w:r>
      <w:r>
        <w:t xml:space="preserve">on </w:t>
      </w:r>
      <w:r w:rsidRPr="003923C5">
        <w:t>miinuseks</w:t>
      </w:r>
      <w:r>
        <w:t xml:space="preserve"> </w:t>
      </w:r>
      <w:r w:rsidRPr="003923C5">
        <w:t xml:space="preserve">antud tüüpi polümeeride madalam mehaaniline tugevus, mis takistab </w:t>
      </w:r>
      <w:r w:rsidRPr="003923C5">
        <w:lastRenderedPageBreak/>
        <w:t xml:space="preserve">suuremõõtmeliste </w:t>
      </w:r>
      <w:r>
        <w:t>akude</w:t>
      </w:r>
      <w:r w:rsidRPr="003923C5">
        <w:t xml:space="preserve"> tootmist. Probleemi ärahoidmiseks või vähendamiseks, o</w:t>
      </w:r>
      <w:r>
        <w:t>n</w:t>
      </w:r>
      <w:r w:rsidRPr="003923C5">
        <w:t xml:space="preserve"> võimalus lisada komponente, mis võiksid polümeeri</w:t>
      </w:r>
      <w:r>
        <w:t>ahelate</w:t>
      </w:r>
      <w:r w:rsidRPr="003923C5">
        <w:t xml:space="preserve"> vahel moodustada ristsidemeid</w:t>
      </w:r>
      <w:r w:rsidR="002D5E46">
        <w:t xml:space="preserve"> </w:t>
      </w:r>
      <w:sdt>
        <w:sdtPr>
          <w:id w:val="321160"/>
          <w:citation/>
        </w:sdtPr>
        <w:sdtContent>
          <w:fldSimple w:instr=" CITATION A \m Yan06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hyperlink w:anchor="Yan06" w:history="1">
              <w:r w:rsidR="005B76C8" w:rsidRPr="005B76C8">
                <w:rPr>
                  <w:rStyle w:val="Heading2Char"/>
                  <w:rFonts w:eastAsiaTheme="minorHAnsi" w:cstheme="minorBidi"/>
                  <w:noProof/>
                  <w:sz w:val="24"/>
                  <w:szCs w:val="22"/>
                </w:rPr>
                <w:t>21</w:t>
              </w:r>
            </w:hyperlink>
            <w:r w:rsidR="005B76C8">
              <w:rPr>
                <w:noProof/>
              </w:rPr>
              <w:t>]</w:t>
            </w:r>
          </w:fldSimple>
        </w:sdtContent>
      </w:sdt>
      <w:r w:rsidRPr="003923C5">
        <w:t>. Kuna geelelektrolüüdid muudavad ka liitium elektroodide pinnad ebapüsivaks</w:t>
      </w:r>
      <w:r>
        <w:t>,</w:t>
      </w:r>
      <w:r w:rsidRPr="003923C5">
        <w:t xml:space="preserve"> on nende kasutamine taaslaetavates akudes piiratud</w:t>
      </w:r>
      <w:r w:rsidR="00487D34">
        <w:t xml:space="preserve"> </w:t>
      </w:r>
      <w:sdt>
        <w:sdtPr>
          <w:id w:val="321161"/>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rsidRPr="003923C5">
        <w:t>.</w:t>
      </w:r>
    </w:p>
    <w:p w:rsidR="005B76C8" w:rsidRPr="00196865" w:rsidRDefault="005B76C8" w:rsidP="005B76C8">
      <w:pPr>
        <w:spacing w:after="240"/>
        <w:rPr>
          <w:color w:val="FF0000"/>
        </w:rPr>
      </w:pPr>
    </w:p>
    <w:p w:rsidR="00C632B4" w:rsidRDefault="00C632B4" w:rsidP="007D722A">
      <w:pPr>
        <w:pStyle w:val="Heading3"/>
      </w:pPr>
      <w:bookmarkStart w:id="25" w:name="_Toc230501779"/>
      <w:bookmarkStart w:id="26" w:name="_Toc231118061"/>
      <w:bookmarkStart w:id="27" w:name="_Toc321348207"/>
      <w:bookmarkStart w:id="28" w:name="_Toc325224171"/>
      <w:r w:rsidRPr="0019037C">
        <w:t>2.</w:t>
      </w:r>
      <w:r>
        <w:t>1</w:t>
      </w:r>
      <w:r w:rsidRPr="0019037C">
        <w:t>.3.  Komposiitelektrolüüdid</w:t>
      </w:r>
      <w:bookmarkEnd w:id="25"/>
      <w:bookmarkEnd w:id="26"/>
      <w:bookmarkEnd w:id="27"/>
      <w:bookmarkEnd w:id="28"/>
      <w:r w:rsidRPr="0019037C">
        <w:t xml:space="preserve"> </w:t>
      </w:r>
    </w:p>
    <w:p w:rsidR="00C632B4" w:rsidRDefault="00C632B4" w:rsidP="007D722A">
      <w:r>
        <w:t>Komposiitelektrolüüdid</w:t>
      </w:r>
      <w:r w:rsidRPr="003923C5">
        <w:t xml:space="preserve"> on tahke</w:t>
      </w:r>
      <w:r>
        <w:t>d</w:t>
      </w:r>
      <w:r w:rsidRPr="003923C5">
        <w:t xml:space="preserve"> polümeerse</w:t>
      </w:r>
      <w:r>
        <w:t>d elektrolüüd</w:t>
      </w:r>
      <w:r w:rsidRPr="003923C5">
        <w:t>id</w:t>
      </w:r>
      <w:r>
        <w:t>,</w:t>
      </w:r>
      <w:r w:rsidRPr="003923C5">
        <w:t xml:space="preserve"> milles on hajutatult nano</w:t>
      </w:r>
      <w:r>
        <w:t xml:space="preserve">- või mikro osakesed </w:t>
      </w:r>
      <w:r w:rsidRPr="003923C5">
        <w:t>enamasti inertsest keraamilisest materjalis</w:t>
      </w:r>
      <w:r w:rsidR="008D25F6">
        <w:t xml:space="preserve"> </w:t>
      </w:r>
      <w:sdt>
        <w:sdtPr>
          <w:id w:val="321162"/>
          <w:citation/>
        </w:sdtPr>
        <w:sdtContent>
          <w:fldSimple w:instr=" CITATION A \m Sit10 \m B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hyperlink w:anchor="Sit10" w:history="1">
              <w:r w:rsidR="005B76C8" w:rsidRPr="005B76C8">
                <w:rPr>
                  <w:rStyle w:val="Heading2Char"/>
                  <w:rFonts w:eastAsiaTheme="minorHAnsi" w:cstheme="minorBidi"/>
                  <w:noProof/>
                  <w:sz w:val="24"/>
                  <w:szCs w:val="22"/>
                </w:rPr>
                <w:t>13</w:t>
              </w:r>
            </w:hyperlink>
            <w:r w:rsidR="005B76C8">
              <w:rPr>
                <w:noProof/>
              </w:rPr>
              <w:t>,</w:t>
            </w:r>
            <w:hyperlink w:anchor="B" w:history="1">
              <w:r w:rsidR="005B76C8" w:rsidRPr="005B76C8">
                <w:rPr>
                  <w:rStyle w:val="Heading2Char"/>
                  <w:rFonts w:eastAsiaTheme="minorHAnsi" w:cstheme="minorBidi"/>
                  <w:noProof/>
                  <w:sz w:val="24"/>
                  <w:szCs w:val="22"/>
                </w:rPr>
                <w:t>20</w:t>
              </w:r>
            </w:hyperlink>
            <w:r w:rsidR="005B76C8">
              <w:rPr>
                <w:noProof/>
              </w:rPr>
              <w:t>]</w:t>
            </w:r>
          </w:fldSimple>
        </w:sdtContent>
      </w:sdt>
      <w:r w:rsidRPr="003923C5">
        <w:t>.</w:t>
      </w:r>
      <w:r>
        <w:t xml:space="preserve"> Lisatavad osakesed jagunevad kahte põhilisse kategooriasse: aktiivsed ja pa</w:t>
      </w:r>
      <w:r w:rsidR="00425BDC">
        <w:t>s</w:t>
      </w:r>
      <w:r>
        <w:t>siivsed. Kus aktiivsed komponendid nagu näiteks Li</w:t>
      </w:r>
      <w:r w:rsidRPr="003923C5">
        <w:rPr>
          <w:vertAlign w:val="subscript"/>
        </w:rPr>
        <w:t>2</w:t>
      </w:r>
      <w:r>
        <w:t>N ja Li</w:t>
      </w:r>
      <w:r w:rsidRPr="003923C5">
        <w:t>Al</w:t>
      </w:r>
      <w:r w:rsidRPr="003923C5">
        <w:rPr>
          <w:vertAlign w:val="subscript"/>
        </w:rPr>
        <w:t>2</w:t>
      </w:r>
      <w:r w:rsidRPr="003923C5">
        <w:t>O</w:t>
      </w:r>
      <w:r w:rsidRPr="003923C5">
        <w:rPr>
          <w:vertAlign w:val="subscript"/>
        </w:rPr>
        <w:t>3</w:t>
      </w:r>
      <w:r>
        <w:rPr>
          <w:vertAlign w:val="subscript"/>
        </w:rPr>
        <w:t xml:space="preserve"> </w:t>
      </w:r>
      <w:r>
        <w:t xml:space="preserve">osalevad Li-ioonide liikumisprotsessis, kuid mitteaktiivsed </w:t>
      </w:r>
      <w:r w:rsidRPr="003923C5">
        <w:t>Al</w:t>
      </w:r>
      <w:r w:rsidRPr="003923C5">
        <w:rPr>
          <w:vertAlign w:val="subscript"/>
        </w:rPr>
        <w:t>2</w:t>
      </w:r>
      <w:r w:rsidRPr="003923C5">
        <w:t>O</w:t>
      </w:r>
      <w:r w:rsidRPr="003923C5">
        <w:rPr>
          <w:vertAlign w:val="subscript"/>
        </w:rPr>
        <w:t>3</w:t>
      </w:r>
      <w:r>
        <w:t>, Si</w:t>
      </w:r>
      <w:r w:rsidRPr="003923C5">
        <w:t>O</w:t>
      </w:r>
      <w:r>
        <w:rPr>
          <w:vertAlign w:val="subscript"/>
        </w:rPr>
        <w:t>2</w:t>
      </w:r>
      <w:r>
        <w:t xml:space="preserve"> ja MgO Li-ioonide transpordiprotsessi kaasatud ei ole</w:t>
      </w:r>
      <w:r w:rsidR="0079496C">
        <w:t xml:space="preserve"> </w:t>
      </w:r>
      <w:sdt>
        <w:sdtPr>
          <w:id w:val="321216"/>
          <w:citation/>
        </w:sdtPr>
        <w:sdtContent>
          <w:fldSimple w:instr=" CITATION B \l 1061 ">
            <w:r w:rsidR="005B76C8">
              <w:rPr>
                <w:noProof/>
              </w:rPr>
              <w:t>[</w:t>
            </w:r>
            <w:hyperlink w:anchor="B" w:history="1">
              <w:r w:rsidR="005B76C8" w:rsidRPr="005B76C8">
                <w:rPr>
                  <w:rStyle w:val="Heading2Char"/>
                  <w:rFonts w:eastAsiaTheme="minorHAnsi" w:cstheme="minorBidi"/>
                  <w:noProof/>
                  <w:sz w:val="24"/>
                  <w:szCs w:val="22"/>
                </w:rPr>
                <w:t>20</w:t>
              </w:r>
            </w:hyperlink>
            <w:r w:rsidR="005B76C8">
              <w:rPr>
                <w:noProof/>
              </w:rPr>
              <w:t>]</w:t>
            </w:r>
          </w:fldSimple>
        </w:sdtContent>
      </w:sdt>
      <w:r>
        <w:t>. Valik passiivsete ja aktiivsete nanoosakeste vahel on olulise määravusega. Võib lugeda mitmetest teaduslikest artiklitest</w:t>
      </w:r>
      <w:r w:rsidR="004C57B6" w:rsidRPr="004C57B6">
        <w:t xml:space="preserve"> </w:t>
      </w:r>
      <w:sdt>
        <w:sdtPr>
          <w:id w:val="321217"/>
          <w:citation/>
        </w:sdtPr>
        <w:sdtContent>
          <w:fldSimple w:instr=" CITATION Qua98 \m Sit10 \m Cro00 \l 1061  ">
            <w:r w:rsidR="005B76C8">
              <w:rPr>
                <w:noProof/>
              </w:rPr>
              <w:t>[</w:t>
            </w:r>
            <w:hyperlink w:anchor="Qua98" w:history="1">
              <w:r w:rsidR="005B76C8" w:rsidRPr="005B76C8">
                <w:rPr>
                  <w:rStyle w:val="Heading2Char"/>
                  <w:rFonts w:eastAsiaTheme="minorHAnsi" w:cstheme="minorBidi"/>
                  <w:noProof/>
                  <w:sz w:val="24"/>
                  <w:szCs w:val="22"/>
                </w:rPr>
                <w:t>12</w:t>
              </w:r>
            </w:hyperlink>
            <w:r w:rsidR="005B76C8">
              <w:rPr>
                <w:noProof/>
              </w:rPr>
              <w:t>,</w:t>
            </w:r>
            <w:hyperlink w:anchor="Sit10" w:history="1">
              <w:r w:rsidR="005B76C8" w:rsidRPr="005B76C8">
                <w:rPr>
                  <w:rStyle w:val="Heading2Char"/>
                  <w:rFonts w:eastAsiaTheme="minorHAnsi" w:cstheme="minorBidi"/>
                  <w:noProof/>
                  <w:sz w:val="24"/>
                  <w:szCs w:val="22"/>
                </w:rPr>
                <w:t>13</w:t>
              </w:r>
            </w:hyperlink>
            <w:r w:rsidR="005B76C8">
              <w:rPr>
                <w:noProof/>
              </w:rPr>
              <w:t>,</w:t>
            </w:r>
            <w:hyperlink w:anchor="Cro00" w:history="1">
              <w:r w:rsidR="005B76C8" w:rsidRPr="005B76C8">
                <w:rPr>
                  <w:rStyle w:val="Heading2Char"/>
                  <w:rFonts w:eastAsiaTheme="minorHAnsi" w:cstheme="minorBidi"/>
                  <w:noProof/>
                  <w:sz w:val="24"/>
                  <w:szCs w:val="22"/>
                </w:rPr>
                <w:t>22</w:t>
              </w:r>
            </w:hyperlink>
            <w:r w:rsidR="005B76C8">
              <w:rPr>
                <w:noProof/>
              </w:rPr>
              <w:t>]</w:t>
            </w:r>
          </w:fldSimple>
        </w:sdtContent>
      </w:sdt>
      <w:r>
        <w:t xml:space="preserve">, kuidas osakeste suurus, mass ja laeng muudavad elektrolüütide morfoloogilisi, elektrokeemilisi ja mehaanilisi omadusi, mis omakorda mõjutavad ioonjuhtivust. </w:t>
      </w:r>
    </w:p>
    <w:p w:rsidR="00C632B4" w:rsidRDefault="00C632B4" w:rsidP="007D722A">
      <w:r>
        <w:t>Komposiitelektrolüütidele on omane stabiilne piirpind, mis annab hea kokkusobivuse elektroodidega ning madalam kristalliseerumistemperatuur</w:t>
      </w:r>
      <w:r w:rsidR="00954AD2">
        <w:t xml:space="preserve"> </w:t>
      </w:r>
      <w:sdt>
        <w:sdtPr>
          <w:id w:val="321218"/>
          <w:citation/>
        </w:sdtPr>
        <w:sdtContent>
          <w:fldSimple w:instr=" CITATION Cro00 \l 1061  \m I">
            <w:r w:rsidR="005B76C8">
              <w:rPr>
                <w:noProof/>
              </w:rPr>
              <w:t>[</w:t>
            </w:r>
            <w:hyperlink w:anchor="Cro00" w:history="1">
              <w:r w:rsidR="005B76C8" w:rsidRPr="005B76C8">
                <w:rPr>
                  <w:rStyle w:val="Heading2Char"/>
                  <w:rFonts w:eastAsiaTheme="minorHAnsi" w:cstheme="minorBidi"/>
                  <w:noProof/>
                  <w:sz w:val="24"/>
                  <w:szCs w:val="22"/>
                </w:rPr>
                <w:t>22</w:t>
              </w:r>
            </w:hyperlink>
            <w:r w:rsidR="005B76C8">
              <w:rPr>
                <w:noProof/>
              </w:rPr>
              <w:t>,</w:t>
            </w:r>
            <w:hyperlink w:anchor="I" w:history="1">
              <w:r w:rsidR="005B76C8" w:rsidRPr="005B76C8">
                <w:rPr>
                  <w:rStyle w:val="Heading2Char"/>
                  <w:rFonts w:eastAsiaTheme="minorHAnsi" w:cstheme="minorBidi"/>
                  <w:noProof/>
                  <w:sz w:val="24"/>
                  <w:szCs w:val="22"/>
                </w:rPr>
                <w:t>23</w:t>
              </w:r>
            </w:hyperlink>
            <w:r w:rsidR="005B76C8">
              <w:rPr>
                <w:noProof/>
              </w:rPr>
              <w:t>]</w:t>
            </w:r>
          </w:fldSimple>
        </w:sdtContent>
      </w:sdt>
      <w:r w:rsidR="000F5B6B">
        <w:t xml:space="preserve">. </w:t>
      </w:r>
      <w:r>
        <w:t>V</w:t>
      </w:r>
      <w:r w:rsidR="00A74BEC">
        <w:t>aatamata saavutatud tulemustele jääb</w:t>
      </w:r>
      <w:r>
        <w:t xml:space="preserve"> antud elektrolüütide ioonjuhtivus toatemperatuuril (10</w:t>
      </w:r>
      <w:r>
        <w:rPr>
          <w:vertAlign w:val="superscript"/>
        </w:rPr>
        <w:t>-6</w:t>
      </w:r>
      <w:r>
        <w:t>…10</w:t>
      </w:r>
      <w:r>
        <w:rPr>
          <w:vertAlign w:val="superscript"/>
        </w:rPr>
        <w:t xml:space="preserve">-7 </w:t>
      </w:r>
      <w:r>
        <w:t>Scm</w:t>
      </w:r>
      <w:r>
        <w:rPr>
          <w:vertAlign w:val="superscript"/>
        </w:rPr>
        <w:t>-1</w:t>
      </w:r>
      <w:r>
        <w:t>)</w:t>
      </w:r>
      <w:r w:rsidR="00A74BEC">
        <w:t xml:space="preserve">, </w:t>
      </w:r>
      <w:r>
        <w:t xml:space="preserve"> masstoodangu jaoks liiga madalaks.</w:t>
      </w:r>
      <w:r w:rsidR="000F5B6B">
        <w:t xml:space="preserve"> Praktiliseks kasutuseks peaks elektrolüüt näitama ioonjuhtivust (</w:t>
      </w:r>
      <w:r w:rsidR="000F5B6B">
        <w:rPr>
          <w:rFonts w:cs="Times New Roman"/>
        </w:rPr>
        <w:t>≥</w:t>
      </w:r>
      <w:r w:rsidR="000F5B6B">
        <w:t>10</w:t>
      </w:r>
      <w:r w:rsidR="000F5B6B">
        <w:rPr>
          <w:vertAlign w:val="superscript"/>
        </w:rPr>
        <w:t xml:space="preserve">-3 </w:t>
      </w:r>
      <w:r w:rsidR="000F5B6B">
        <w:t>Scm</w:t>
      </w:r>
      <w:r w:rsidR="000F5B6B">
        <w:rPr>
          <w:vertAlign w:val="superscript"/>
        </w:rPr>
        <w:t>-1</w:t>
      </w:r>
      <w:r w:rsidR="000F5B6B">
        <w:t>)</w:t>
      </w:r>
      <w:r w:rsidR="000F5B6B" w:rsidRPr="000F5B6B">
        <w:t xml:space="preserve"> </w:t>
      </w:r>
      <w:sdt>
        <w:sdtPr>
          <w:id w:val="321219"/>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rsidR="000F5B6B">
        <w:t>.</w:t>
      </w:r>
    </w:p>
    <w:p w:rsidR="00C632B4" w:rsidRDefault="00C632B4" w:rsidP="007D722A">
      <w:r>
        <w:t>Antud valdkonda on ekspe</w:t>
      </w:r>
      <w:r w:rsidR="000F5B6B">
        <w:t xml:space="preserve">rimentaalselt keeruline uurida, kuna </w:t>
      </w:r>
      <w:r>
        <w:t>k</w:t>
      </w:r>
      <w:r w:rsidRPr="003923C5">
        <w:t>atse</w:t>
      </w:r>
      <w:r>
        <w:t>andmete saamine</w:t>
      </w:r>
      <w:r w:rsidRPr="003923C5">
        <w:t xml:space="preserve"> </w:t>
      </w:r>
      <w:r>
        <w:t>nanoosakeste</w:t>
      </w:r>
      <w:r w:rsidRPr="003923C5">
        <w:t xml:space="preserve"> interaktsioonide kohta polümeeri ja liitiumi</w:t>
      </w:r>
      <w:r w:rsidR="000F5B6B">
        <w:t>oonide</w:t>
      </w:r>
      <w:r w:rsidRPr="003923C5">
        <w:t xml:space="preserve">ga aatomtasandil on </w:t>
      </w:r>
      <w:r>
        <w:t>nende mõõtmete tõttu</w:t>
      </w:r>
      <w:r w:rsidR="000F5B6B">
        <w:t xml:space="preserve"> </w:t>
      </w:r>
      <w:r w:rsidR="000F5B6B" w:rsidRPr="003923C5">
        <w:t>raskendatud</w:t>
      </w:r>
      <w:r>
        <w:t>. S</w:t>
      </w:r>
      <w:r w:rsidRPr="003923C5">
        <w:t>ellistel puhkudel on suureks abiks molekulaardünaamilised simulatsioonid</w:t>
      </w:r>
      <w:r>
        <w:t>,  millest oli juttu peatükis 1.2</w:t>
      </w:r>
      <w:r w:rsidRPr="003923C5">
        <w:t>.</w:t>
      </w:r>
    </w:p>
    <w:p w:rsidR="005B76C8" w:rsidRDefault="005B76C8" w:rsidP="007D722A"/>
    <w:p w:rsidR="00C632B4" w:rsidRPr="001544EB" w:rsidRDefault="00C632B4" w:rsidP="00AF1811">
      <w:pPr>
        <w:pStyle w:val="Heading2"/>
        <w:rPr>
          <w:b/>
          <w:szCs w:val="24"/>
        </w:rPr>
      </w:pPr>
      <w:bookmarkStart w:id="29" w:name="_Toc230501780"/>
      <w:bookmarkStart w:id="30" w:name="_Toc231118062"/>
      <w:bookmarkStart w:id="31" w:name="_Toc321348208"/>
      <w:bookmarkStart w:id="32" w:name="_Toc325224172"/>
      <w:r>
        <w:t>2.2</w:t>
      </w:r>
      <w:r w:rsidRPr="001544EB">
        <w:t>.  Polüetüleenoksiid (PEO)</w:t>
      </w:r>
      <w:bookmarkEnd w:id="29"/>
      <w:bookmarkEnd w:id="30"/>
      <w:bookmarkEnd w:id="31"/>
      <w:bookmarkEnd w:id="32"/>
    </w:p>
    <w:p w:rsidR="00C632B4" w:rsidRDefault="00C632B4" w:rsidP="007D722A">
      <w:r>
        <w:t>Polüetüleenoksiid, mis koosneb etüleenoksiidi -(</w:t>
      </w:r>
      <w:r w:rsidRPr="00B171B0">
        <w:t>CH</w:t>
      </w:r>
      <w:r>
        <w:rPr>
          <w:vertAlign w:val="subscript"/>
        </w:rPr>
        <w:t>2</w:t>
      </w:r>
      <w:r w:rsidRPr="00B171B0">
        <w:t>–O–CH</w:t>
      </w:r>
      <w:r>
        <w:rPr>
          <w:vertAlign w:val="subscript"/>
        </w:rPr>
        <w:t>2</w:t>
      </w:r>
      <w:r>
        <w:t>)- monomeeri</w:t>
      </w:r>
      <w:r w:rsidR="00F23870">
        <w:t xml:space="preserve"> lülidest </w:t>
      </w:r>
      <w:r>
        <w:t xml:space="preserve">(joonis 2), oli </w:t>
      </w:r>
      <w:r w:rsidR="007A484E">
        <w:t xml:space="preserve">üks </w:t>
      </w:r>
      <w:r>
        <w:t>esime</w:t>
      </w:r>
      <w:r w:rsidR="007A484E">
        <w:t>stest</w:t>
      </w:r>
      <w:r>
        <w:t xml:space="preserve"> polümeer</w:t>
      </w:r>
      <w:r w:rsidR="007A484E">
        <w:t>idest</w:t>
      </w:r>
      <w:r>
        <w:t>, mida 1973</w:t>
      </w:r>
      <w:r w:rsidR="0059550E">
        <w:t>.</w:t>
      </w:r>
      <w:r>
        <w:t xml:space="preserve"> aastal</w:t>
      </w:r>
      <w:r w:rsidR="007A484E">
        <w:t xml:space="preserve"> Wright et al.</w:t>
      </w:r>
      <w:r>
        <w:t xml:space="preserve"> kasuta</w:t>
      </w:r>
      <w:r w:rsidR="007A484E">
        <w:t>s</w:t>
      </w:r>
      <w:r>
        <w:t xml:space="preserve"> tahkete elektrolüütide katsetes</w:t>
      </w:r>
      <w:sdt>
        <w:sdtPr>
          <w:id w:val="16387832"/>
          <w:citation/>
        </w:sdtPr>
        <w:sdtContent>
          <w:fldSimple w:instr=" CITATION Sin03 \l 1061  ">
            <w:r w:rsidR="005B76C8">
              <w:rPr>
                <w:noProof/>
              </w:rPr>
              <w:t xml:space="preserve"> [</w:t>
            </w:r>
            <w:hyperlink w:anchor="Sin03" w:history="1">
              <w:r w:rsidR="005B76C8" w:rsidRPr="005B76C8">
                <w:rPr>
                  <w:rStyle w:val="Heading2Char"/>
                  <w:rFonts w:eastAsiaTheme="minorHAnsi" w:cstheme="minorBidi"/>
                  <w:noProof/>
                  <w:sz w:val="24"/>
                  <w:szCs w:val="22"/>
                </w:rPr>
                <w:t>24</w:t>
              </w:r>
            </w:hyperlink>
            <w:r w:rsidR="005B76C8">
              <w:rPr>
                <w:noProof/>
              </w:rPr>
              <w:t>]</w:t>
            </w:r>
          </w:fldSimple>
        </w:sdtContent>
      </w:sdt>
      <w:r>
        <w:t>. Siiani on PEO ka üks enimuuritud ja enimkasutatud polümeere, mis koos lihtsate anorgaaniliste sooladega, nagu leelismetalli halogeeniididega moodusta</w:t>
      </w:r>
      <w:r w:rsidR="006D0856">
        <w:t xml:space="preserve">b </w:t>
      </w:r>
      <w:r>
        <w:lastRenderedPageBreak/>
        <w:t>tahke ioone juhtiva kesk</w:t>
      </w:r>
      <w:r w:rsidR="00C331B8">
        <w:t>k</w:t>
      </w:r>
      <w:r>
        <w:t>onna</w:t>
      </w:r>
      <w:r w:rsidR="00952ED8">
        <w:t xml:space="preserve"> </w:t>
      </w:r>
      <w:sdt>
        <w:sdtPr>
          <w:id w:val="321220"/>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2</w:t>
              </w:r>
            </w:hyperlink>
            <w:r w:rsidR="005B76C8">
              <w:rPr>
                <w:noProof/>
              </w:rPr>
              <w:t>]</w:t>
            </w:r>
          </w:fldSimple>
        </w:sdtContent>
      </w:sdt>
      <w:r>
        <w:t>. See on tingitud PEO omadus</w:t>
      </w:r>
      <w:r w:rsidR="006D0856">
        <w:t>t</w:t>
      </w:r>
      <w:r>
        <w:t>est dissotsieerida metallisooli ning olla polaarne, mis on hea liitiumi liikuvuse jaoks. Arvatakse, et selline sooli lahustav ja liitiumkatioone koordine</w:t>
      </w:r>
      <w:r w:rsidR="006D0856">
        <w:t xml:space="preserve">eriv omadus tuleneb PEO </w:t>
      </w:r>
      <w:r>
        <w:t xml:space="preserve">kindla järjestusega struktuurist ja polaarsetest -O-, </w:t>
      </w:r>
      <w:r w:rsidR="006D0856">
        <w:t>-H-, -C-H- gruppidest polümeeri</w:t>
      </w:r>
      <w:r>
        <w:t xml:space="preserve">ahelal </w:t>
      </w:r>
      <w:sdt>
        <w:sdtPr>
          <w:id w:val="321221"/>
          <w:citation/>
        </w:sdtPr>
        <w:sdtContent>
          <w:fldSimple w:instr=" CITATION R \l 1061  ">
            <w:r w:rsidR="005B76C8">
              <w:rPr>
                <w:noProof/>
              </w:rPr>
              <w:t>[</w:t>
            </w:r>
            <w:hyperlink w:anchor="R" w:history="1">
              <w:r w:rsidR="005B76C8" w:rsidRPr="005B76C8">
                <w:rPr>
                  <w:rStyle w:val="Heading2Char"/>
                  <w:rFonts w:eastAsiaTheme="minorHAnsi" w:cstheme="minorBidi"/>
                  <w:noProof/>
                  <w:sz w:val="24"/>
                  <w:szCs w:val="22"/>
                </w:rPr>
                <w:t>25</w:t>
              </w:r>
            </w:hyperlink>
            <w:r w:rsidR="005B76C8">
              <w:rPr>
                <w:noProof/>
              </w:rPr>
              <w:t>]</w:t>
            </w:r>
          </w:fldSimple>
        </w:sdtContent>
      </w:sdt>
      <w:r>
        <w:t>. PEO-l põhinevate tahkete elektrolüütide eelisteks on ka madal kristalliseerumistemperatuur ( T</w:t>
      </w:r>
      <w:r>
        <w:rPr>
          <w:vertAlign w:val="subscript"/>
        </w:rPr>
        <w:t>k</w:t>
      </w:r>
      <w:r w:rsidR="006D0856">
        <w:t xml:space="preserve"> ≈ +</w:t>
      </w:r>
      <w:r>
        <w:t xml:space="preserve">60 </w:t>
      </w:r>
      <w:r w:rsidRPr="00945DB6">
        <w:rPr>
          <w:vertAlign w:val="superscript"/>
        </w:rPr>
        <w:t>o</w:t>
      </w:r>
      <w:r w:rsidR="006D0856">
        <w:t>C ) ning suur molekul</w:t>
      </w:r>
      <w:r>
        <w:t>mass tagamaks mehaanilist stabiilsust</w:t>
      </w:r>
      <w:r w:rsidR="00952ED8">
        <w:t xml:space="preserve"> </w:t>
      </w:r>
      <w:sdt>
        <w:sdtPr>
          <w:id w:val="321222"/>
          <w:citation/>
        </w:sdtPr>
        <w:sdtContent>
          <w:fldSimple w:instr=" CITATION C \l 1061  ">
            <w:r w:rsidR="005B76C8">
              <w:rPr>
                <w:noProof/>
              </w:rPr>
              <w:t>[</w:t>
            </w:r>
            <w:hyperlink w:anchor="C" w:history="1">
              <w:r w:rsidR="005B76C8" w:rsidRPr="005B76C8">
                <w:rPr>
                  <w:rStyle w:val="Heading2Char"/>
                  <w:rFonts w:eastAsiaTheme="minorHAnsi" w:cstheme="minorBidi"/>
                  <w:noProof/>
                  <w:sz w:val="24"/>
                  <w:szCs w:val="22"/>
                </w:rPr>
                <w:t>14</w:t>
              </w:r>
            </w:hyperlink>
            <w:r w:rsidR="005B76C8">
              <w:rPr>
                <w:noProof/>
              </w:rPr>
              <w:t>]</w:t>
            </w:r>
          </w:fldSimple>
        </w:sdtContent>
      </w:sdt>
      <w:r>
        <w:t xml:space="preserve">. </w:t>
      </w:r>
      <w:r w:rsidR="001E65BB">
        <w:t>PEO</w:t>
      </w:r>
      <w:r w:rsidR="007A79CA">
        <w:t xml:space="preserve"> tihedus on 1300 kg/m</w:t>
      </w:r>
      <w:r w:rsidR="007A79CA">
        <w:rPr>
          <w:vertAlign w:val="superscript"/>
        </w:rPr>
        <w:t>3</w:t>
      </w:r>
      <w:r w:rsidR="00460955">
        <w:t xml:space="preserve"> </w:t>
      </w:r>
      <w:sdt>
        <w:sdtPr>
          <w:id w:val="321223"/>
          <w:citation/>
        </w:sdtPr>
        <w:sdtContent>
          <w:fldSimple w:instr=" CITATION Row09 \l 1061  ">
            <w:r w:rsidR="005B76C8">
              <w:rPr>
                <w:noProof/>
              </w:rPr>
              <w:t>[</w:t>
            </w:r>
            <w:hyperlink w:anchor="Row09" w:history="1">
              <w:r w:rsidR="005B76C8" w:rsidRPr="005B76C8">
                <w:rPr>
                  <w:rStyle w:val="Heading2Char"/>
                  <w:rFonts w:eastAsiaTheme="minorHAnsi" w:cstheme="minorBidi"/>
                  <w:noProof/>
                  <w:sz w:val="24"/>
                  <w:szCs w:val="22"/>
                </w:rPr>
                <w:t>26</w:t>
              </w:r>
            </w:hyperlink>
            <w:r w:rsidR="005B76C8">
              <w:rPr>
                <w:noProof/>
              </w:rPr>
              <w:t>]</w:t>
            </w:r>
          </w:fldSimple>
        </w:sdtContent>
      </w:sdt>
      <w:r w:rsidR="007A79CA">
        <w:t>.</w:t>
      </w:r>
    </w:p>
    <w:p w:rsidR="005B76C8" w:rsidRPr="007A79CA" w:rsidRDefault="005B76C8" w:rsidP="007D722A"/>
    <w:p w:rsidR="00C632B4" w:rsidRDefault="00C632B4" w:rsidP="007D722A"/>
    <w:p w:rsidR="00C632B4" w:rsidRDefault="00C632B4" w:rsidP="005B76C8">
      <w:pPr>
        <w:jc w:val="center"/>
      </w:pPr>
      <w:r>
        <w:rPr>
          <w:noProof/>
          <w:lang w:eastAsia="et-EE"/>
        </w:rPr>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C632B4" w:rsidRDefault="00C632B4" w:rsidP="007D722A"/>
    <w:p w:rsidR="00C632B4" w:rsidRDefault="00C632B4" w:rsidP="005B76C8">
      <w:pPr>
        <w:spacing w:before="0" w:after="0"/>
      </w:pPr>
      <w:r w:rsidRPr="000B41E1">
        <w:rPr>
          <w:b/>
        </w:rPr>
        <w:t>Joonis</w:t>
      </w:r>
      <w:r>
        <w:rPr>
          <w:b/>
        </w:rPr>
        <w:t xml:space="preserve"> </w:t>
      </w:r>
      <w:r w:rsidRPr="000B41E1">
        <w:rPr>
          <w:b/>
        </w:rPr>
        <w:t>2:</w:t>
      </w:r>
      <w:r w:rsidRPr="00D905B5">
        <w:t xml:space="preserve"> </w:t>
      </w:r>
      <w:r>
        <w:t xml:space="preserve">Kaks </w:t>
      </w:r>
      <w:r w:rsidRPr="00D905B5">
        <w:t>järjestikust</w:t>
      </w:r>
      <w:r>
        <w:t xml:space="preserve"> PEO monomeeri</w:t>
      </w:r>
      <w:r w:rsidR="00F23870">
        <w:t xml:space="preserve"> lüli</w:t>
      </w:r>
      <w:r w:rsidRPr="00D905B5">
        <w:t xml:space="preserve"> </w:t>
      </w:r>
      <w:r>
        <w:t>-</w:t>
      </w:r>
      <w:r w:rsidRPr="00D905B5">
        <w:t>(</w:t>
      </w:r>
      <w:r>
        <w:t>CH</w:t>
      </w:r>
      <w:r>
        <w:rPr>
          <w:vertAlign w:val="subscript"/>
        </w:rPr>
        <w:t>2</w:t>
      </w:r>
      <w:r>
        <w:t>OCH</w:t>
      </w:r>
      <w:r>
        <w:rPr>
          <w:vertAlign w:val="subscript"/>
        </w:rPr>
        <w:t>2</w:t>
      </w:r>
      <w:r w:rsidRPr="00D905B5">
        <w:t>)</w:t>
      </w:r>
      <w:r w:rsidR="00725E1A">
        <w:rPr>
          <w:vertAlign w:val="subscript"/>
        </w:rPr>
        <w:t>2</w:t>
      </w:r>
      <w:r>
        <w:t>-</w:t>
      </w:r>
      <w:r w:rsidR="004A2280">
        <w:t>.</w:t>
      </w:r>
    </w:p>
    <w:p w:rsidR="005B76C8" w:rsidRPr="00310F03" w:rsidRDefault="005B76C8" w:rsidP="005B76C8">
      <w:pPr>
        <w:spacing w:before="0" w:after="0"/>
      </w:pPr>
    </w:p>
    <w:p w:rsidR="00C632B4" w:rsidRDefault="00C632B4" w:rsidP="005B76C8">
      <w:pPr>
        <w:spacing w:before="0" w:after="0"/>
      </w:pPr>
      <w:r>
        <w:t>Täpsemalt võib öelda, et PEO on tava</w:t>
      </w:r>
      <w:r w:rsidRPr="00EA7AB5">
        <w:t>temperatuuril</w:t>
      </w:r>
      <w:r w:rsidR="00725E1A">
        <w:t xml:space="preserve"> </w:t>
      </w:r>
      <w:r w:rsidR="00725E1A" w:rsidRPr="00EA7AB5">
        <w:t>heterogeen</w:t>
      </w:r>
      <w:r w:rsidR="00725E1A">
        <w:t>ne</w:t>
      </w:r>
      <w:r>
        <w:t>,</w:t>
      </w:r>
      <w:r w:rsidRPr="00EA7AB5">
        <w:t xml:space="preserve"> koosnedes kristallilistest PEO-soola piirkondadest ning amorfse</w:t>
      </w:r>
      <w:r>
        <w:t>test piirkondadest, mis sisaldavad</w:t>
      </w:r>
      <w:r w:rsidRPr="00EA7AB5">
        <w:t xml:space="preserve"> lahustu</w:t>
      </w:r>
      <w:r>
        <w:t>nu</w:t>
      </w:r>
      <w:r w:rsidRPr="00EA7AB5">
        <w:t>d soolai</w:t>
      </w:r>
      <w:r>
        <w:t>oone</w:t>
      </w:r>
      <w:r w:rsidRPr="00EA7AB5">
        <w:t>.</w:t>
      </w:r>
      <w:r>
        <w:t xml:space="preserve"> </w:t>
      </w:r>
      <w:r w:rsidRPr="00EA7AB5">
        <w:t xml:space="preserve">Seetõttu on </w:t>
      </w:r>
      <w:r>
        <w:t>lood</w:t>
      </w:r>
      <w:r w:rsidRPr="00EA7AB5">
        <w:t>ud mitmeid PEO-soola süsteeme, mille ioonjuhtiv</w:t>
      </w:r>
      <w:r>
        <w:t>us ilmneb</w:t>
      </w:r>
      <w:r w:rsidRPr="00EA7AB5">
        <w:t xml:space="preserve"> peamiselt </w:t>
      </w:r>
      <w:r w:rsidRPr="00240FB2">
        <w:t>amorfsetes piirkondades</w:t>
      </w:r>
      <w:r w:rsidR="00725E1A" w:rsidRPr="00725E1A">
        <w:t xml:space="preserve"> </w:t>
      </w:r>
      <w:sdt>
        <w:sdtPr>
          <w:id w:val="177890081"/>
          <w:citation/>
        </w:sdtPr>
        <w:sdtContent>
          <w:fldSimple w:instr=" CITATION S \m Boi96 \l 1061  ">
            <w:r w:rsidR="005B76C8">
              <w:rPr>
                <w:noProof/>
              </w:rPr>
              <w:t>[</w:t>
            </w:r>
            <w:hyperlink w:anchor="S" w:history="1">
              <w:r w:rsidR="005B76C8" w:rsidRPr="005B76C8">
                <w:rPr>
                  <w:rStyle w:val="Heading2Char"/>
                  <w:rFonts w:eastAsiaTheme="minorHAnsi" w:cstheme="minorBidi"/>
                  <w:noProof/>
                  <w:sz w:val="24"/>
                  <w:szCs w:val="22"/>
                </w:rPr>
                <w:t>10</w:t>
              </w:r>
            </w:hyperlink>
            <w:r w:rsidR="005B76C8">
              <w:rPr>
                <w:noProof/>
              </w:rPr>
              <w:t>,</w:t>
            </w:r>
            <w:hyperlink w:anchor="Boi96" w:history="1">
              <w:r w:rsidR="005B76C8" w:rsidRPr="005B76C8">
                <w:rPr>
                  <w:rStyle w:val="Heading2Char"/>
                  <w:rFonts w:eastAsiaTheme="minorHAnsi" w:cstheme="minorBidi"/>
                  <w:noProof/>
                  <w:sz w:val="24"/>
                  <w:szCs w:val="22"/>
                </w:rPr>
                <w:t>27</w:t>
              </w:r>
            </w:hyperlink>
            <w:r w:rsidR="005B76C8">
              <w:rPr>
                <w:noProof/>
              </w:rPr>
              <w:t>]</w:t>
            </w:r>
          </w:fldSimple>
        </w:sdtContent>
      </w:sdt>
      <w:r w:rsidR="001E7EC5">
        <w:t>. Kuumutades polümeeri 70</w:t>
      </w:r>
      <w:r w:rsidRPr="00240FB2">
        <w:t xml:space="preserve"> </w:t>
      </w:r>
      <w:r>
        <w:rPr>
          <w:vertAlign w:val="superscript"/>
        </w:rPr>
        <w:t>o</w:t>
      </w:r>
      <w:r w:rsidRPr="00240FB2">
        <w:t xml:space="preserve">C lähedale, hakkab oluliselt suurenema </w:t>
      </w:r>
      <w:r>
        <w:t>ioon</w:t>
      </w:r>
      <w:r w:rsidRPr="00240FB2">
        <w:t>juhtivus ( σ ≈ 10</w:t>
      </w:r>
      <w:r>
        <w:rPr>
          <w:vertAlign w:val="superscript"/>
        </w:rPr>
        <w:t>-4</w:t>
      </w:r>
      <w:r w:rsidRPr="00240FB2">
        <w:t xml:space="preserve"> Scm</w:t>
      </w:r>
      <w:r>
        <w:rPr>
          <w:vertAlign w:val="superscript"/>
        </w:rPr>
        <w:t>-1</w:t>
      </w:r>
      <w:r w:rsidRPr="00240FB2">
        <w:t>), mis on tingitud kris</w:t>
      </w:r>
      <w:r>
        <w:t>tallilise piirkonna sulamisest</w:t>
      </w:r>
      <w:r w:rsidR="00AB4E26">
        <w:t xml:space="preserve"> </w:t>
      </w:r>
      <w:sdt>
        <w:sdtPr>
          <w:id w:val="321291"/>
          <w:citation/>
        </w:sdtPr>
        <w:sdtContent>
          <w:fldSimple w:instr=" CITATION C \m Rit05 \l 1061  ">
            <w:r w:rsidR="005B76C8">
              <w:rPr>
                <w:noProof/>
              </w:rPr>
              <w:t>[</w:t>
            </w:r>
            <w:hyperlink w:anchor="C" w:history="1">
              <w:r w:rsidR="005B76C8" w:rsidRPr="005B76C8">
                <w:rPr>
                  <w:rStyle w:val="Heading2Char"/>
                  <w:rFonts w:eastAsiaTheme="minorHAnsi" w:cstheme="minorBidi"/>
                  <w:noProof/>
                  <w:sz w:val="24"/>
                  <w:szCs w:val="22"/>
                </w:rPr>
                <w:t>14</w:t>
              </w:r>
            </w:hyperlink>
            <w:r w:rsidR="005B76C8">
              <w:rPr>
                <w:noProof/>
              </w:rPr>
              <w:t>,</w:t>
            </w:r>
            <w:hyperlink w:anchor="Rit05" w:history="1">
              <w:r w:rsidR="005B76C8" w:rsidRPr="005B76C8">
                <w:rPr>
                  <w:rStyle w:val="Heading2Char"/>
                  <w:rFonts w:eastAsiaTheme="minorHAnsi" w:cstheme="minorBidi"/>
                  <w:noProof/>
                  <w:sz w:val="24"/>
                  <w:szCs w:val="22"/>
                </w:rPr>
                <w:t>28</w:t>
              </w:r>
            </w:hyperlink>
            <w:r w:rsidR="005B76C8">
              <w:rPr>
                <w:noProof/>
              </w:rPr>
              <w:t>]</w:t>
            </w:r>
          </w:fldSimple>
        </w:sdtContent>
      </w:sdt>
      <w:r>
        <w:t>.</w:t>
      </w:r>
    </w:p>
    <w:p w:rsidR="005B76C8" w:rsidRDefault="005B76C8" w:rsidP="005B76C8">
      <w:pPr>
        <w:spacing w:before="0" w:after="0"/>
      </w:pPr>
    </w:p>
    <w:p w:rsidR="00C632B4" w:rsidRDefault="00C632B4" w:rsidP="007D722A">
      <w:r>
        <w:lastRenderedPageBreak/>
        <w:t>PEO</w:t>
      </w:r>
      <w:r w:rsidR="0020645B">
        <w:t xml:space="preserve"> </w:t>
      </w:r>
      <w:r>
        <w:t>ahela</w:t>
      </w:r>
      <w:r w:rsidR="0020645B">
        <w:t xml:space="preserve">te pikkused elektrolüütides </w:t>
      </w:r>
      <w:r w:rsidR="00FA6470">
        <w:t xml:space="preserve">algavad </w:t>
      </w:r>
      <w:r w:rsidR="0020645B">
        <w:t>mitme</w:t>
      </w:r>
      <w:r w:rsidR="00FA6470">
        <w:t>test</w:t>
      </w:r>
      <w:r w:rsidR="0020645B">
        <w:t xml:space="preserve"> tuhande</w:t>
      </w:r>
      <w:r w:rsidR="00FA6470">
        <w:t>test</w:t>
      </w:r>
      <w:r w:rsidR="0020645B">
        <w:t xml:space="preserve"> </w:t>
      </w:r>
      <w:r>
        <w:t>monomeeri</w:t>
      </w:r>
      <w:r w:rsidR="00FA6470">
        <w:t xml:space="preserve"> lülidest</w:t>
      </w:r>
      <w:r>
        <w:t xml:space="preserve">. </w:t>
      </w:r>
      <w:r w:rsidR="00C91219">
        <w:t xml:space="preserve">Kuna Li-ioonid moodustavad sidemeid ahela hapnikuaatomitega, siis </w:t>
      </w:r>
      <w:r>
        <w:t xml:space="preserve"> </w:t>
      </w:r>
      <w:r w:rsidR="00FA6470">
        <w:t>koordineerivad</w:t>
      </w:r>
      <w:r>
        <w:t xml:space="preserve"> </w:t>
      </w:r>
      <w:r w:rsidR="00C91219">
        <w:t xml:space="preserve">viimased </w:t>
      </w:r>
      <w:r>
        <w:t xml:space="preserve">Li-iooni, hoides neid eraldi anioonidest, </w:t>
      </w:r>
      <w:r w:rsidR="0020645B">
        <w:t>samas kand</w:t>
      </w:r>
      <w:r w:rsidR="00FA6470">
        <w:t>ub</w:t>
      </w:r>
      <w:r w:rsidR="0020645B">
        <w:t xml:space="preserve"> ahela segmentaalse liikumise tõttu Li-ioon edasi ühe hapniku</w:t>
      </w:r>
      <w:r w:rsidR="003737B8">
        <w:t xml:space="preserve"> aatomi</w:t>
      </w:r>
      <w:r w:rsidR="0020645B">
        <w:t xml:space="preserve"> juurest teise juurde. </w:t>
      </w:r>
      <w:r w:rsidR="00C91219">
        <w:t>Selliste süsteemide puhul on oluline</w:t>
      </w:r>
      <w:r>
        <w:t xml:space="preserve"> ka soola ja monomeeride </w:t>
      </w:r>
      <w:r w:rsidR="00C91219">
        <w:t xml:space="preserve">vaheline </w:t>
      </w:r>
      <w:r>
        <w:t>suh</w:t>
      </w:r>
      <w:r w:rsidR="00C91219">
        <w:t>tarv</w:t>
      </w:r>
      <w:r>
        <w:t xml:space="preserve">. Küllaltki kontsentreerituks vahekorraks võib </w:t>
      </w:r>
      <w:r w:rsidRPr="004221E6">
        <w:t xml:space="preserve">pidada </w:t>
      </w:r>
      <w:r>
        <w:t>Li:</w:t>
      </w:r>
      <w:r w:rsidRPr="004221E6">
        <w:t>EO</w:t>
      </w:r>
      <w:r>
        <w:t xml:space="preserve"> suhet 1:8 ning lahjaks vahekorraks Li:</w:t>
      </w:r>
      <w:r w:rsidRPr="004221E6">
        <w:t>EO</w:t>
      </w:r>
      <w:r>
        <w:t xml:space="preserve"> suhet 1:31</w:t>
      </w:r>
      <w:r w:rsidR="00F74A37">
        <w:t xml:space="preserve"> </w:t>
      </w:r>
      <w:sdt>
        <w:sdtPr>
          <w:id w:val="321294"/>
          <w:citation/>
        </w:sdtPr>
        <w:sdtContent>
          <w:fldSimple w:instr=" CITATION T \m P \l 1061  ">
            <w:r w:rsidR="005B76C8">
              <w:rPr>
                <w:noProof/>
              </w:rPr>
              <w:t>[</w:t>
            </w:r>
            <w:hyperlink w:anchor="T" w:history="1">
              <w:r w:rsidR="005B76C8" w:rsidRPr="005B76C8">
                <w:rPr>
                  <w:rStyle w:val="Heading2Char"/>
                  <w:rFonts w:eastAsiaTheme="minorHAnsi" w:cstheme="minorBidi"/>
                  <w:noProof/>
                  <w:sz w:val="24"/>
                  <w:szCs w:val="22"/>
                </w:rPr>
                <w:t>15</w:t>
              </w:r>
            </w:hyperlink>
            <w:r w:rsidR="005B76C8">
              <w:rPr>
                <w:noProof/>
              </w:rPr>
              <w:t>,</w:t>
            </w:r>
            <w:hyperlink w:anchor="P" w:history="1">
              <w:r w:rsidR="005B76C8" w:rsidRPr="005B76C8">
                <w:rPr>
                  <w:rStyle w:val="Heading2Char"/>
                  <w:rFonts w:eastAsiaTheme="minorHAnsi" w:cstheme="minorBidi"/>
                  <w:noProof/>
                  <w:sz w:val="24"/>
                  <w:szCs w:val="22"/>
                </w:rPr>
                <w:t>29</w:t>
              </w:r>
            </w:hyperlink>
            <w:r w:rsidR="005B76C8">
              <w:rPr>
                <w:noProof/>
              </w:rPr>
              <w:t>]</w:t>
            </w:r>
          </w:fldSimple>
        </w:sdtContent>
      </w:sdt>
      <w:r>
        <w:t>.</w:t>
      </w:r>
    </w:p>
    <w:p w:rsidR="00C632B4" w:rsidRDefault="00C632B4" w:rsidP="007D722A"/>
    <w:p w:rsidR="00C632B4" w:rsidRDefault="00C632B4" w:rsidP="00AF1811">
      <w:pPr>
        <w:pStyle w:val="Heading2"/>
        <w:rPr>
          <w:b/>
        </w:rPr>
      </w:pPr>
      <w:bookmarkStart w:id="33" w:name="_Toc230501781"/>
      <w:bookmarkStart w:id="34" w:name="_Toc231118063"/>
      <w:bookmarkStart w:id="35" w:name="_Toc321348209"/>
      <w:bookmarkStart w:id="36" w:name="_Toc325224173"/>
      <w:r>
        <w:t>2.3</w:t>
      </w:r>
      <w:r w:rsidRPr="00892676">
        <w:t>.  Polüetüleen (PE)</w:t>
      </w:r>
      <w:bookmarkEnd w:id="33"/>
      <w:bookmarkEnd w:id="34"/>
      <w:bookmarkEnd w:id="35"/>
      <w:bookmarkEnd w:id="36"/>
    </w:p>
    <w:p w:rsidR="00C632B4" w:rsidRPr="00A87331" w:rsidRDefault="00C632B4" w:rsidP="007D722A">
      <w:r>
        <w:t xml:space="preserve">Polüetüleen on </w:t>
      </w:r>
      <w:r w:rsidR="00E27412">
        <w:t xml:space="preserve">üks </w:t>
      </w:r>
      <w:r>
        <w:t>levinum</w:t>
      </w:r>
      <w:r w:rsidR="00010644">
        <w:t>atest</w:t>
      </w:r>
      <w:r>
        <w:t xml:space="preserve"> plastmass</w:t>
      </w:r>
      <w:r w:rsidR="00010644">
        <w:t>idest</w:t>
      </w:r>
      <w:r>
        <w:t xml:space="preserve"> üle maailma, millest valmistatakse kilekotte, pudeleid ja isegi kuulikindlaid veste. PE on polümeer, mis koosneb etüleeni monomeeri</w:t>
      </w:r>
      <w:r w:rsidR="00F23870">
        <w:t xml:space="preserve"> lülidest</w:t>
      </w:r>
      <w:r>
        <w:t xml:space="preserve"> -CH</w:t>
      </w:r>
      <w:r>
        <w:rPr>
          <w:vertAlign w:val="subscript"/>
        </w:rPr>
        <w:t>2</w:t>
      </w:r>
      <w:r>
        <w:t>- (joonis 3). Etüleeni molekul C</w:t>
      </w:r>
      <w:r>
        <w:rPr>
          <w:vertAlign w:val="subscript"/>
        </w:rPr>
        <w:t>2</w:t>
      </w:r>
      <w:r>
        <w:t>H</w:t>
      </w:r>
      <w:r>
        <w:rPr>
          <w:vertAlign w:val="subscript"/>
        </w:rPr>
        <w:t>4</w:t>
      </w:r>
      <w:r>
        <w:t xml:space="preserve"> koosneb kahest kaksiksidemega ühendatud CH</w:t>
      </w:r>
      <w:r>
        <w:rPr>
          <w:vertAlign w:val="subscript"/>
        </w:rPr>
        <w:t>2</w:t>
      </w:r>
      <w:r>
        <w:t xml:space="preserve"> -gruppist. Selliselt ühendatud PE ahelad võivad olla pikad lineaarsed, hargnenud või hoopis moodustanud võrgustikke. Materjali omadused sõltuvad polümeeride struktuuridest. Tiheduse järgi liigitatakse PE näiteks kümnesse erinevasse klassi alates ülimadalast tihedusest (880 kg/m</w:t>
      </w:r>
      <w:r>
        <w:rPr>
          <w:vertAlign w:val="superscript"/>
        </w:rPr>
        <w:t>3</w:t>
      </w:r>
      <w:r>
        <w:t>) kuni ülikõrge tiheduseni (940 kg/m</w:t>
      </w:r>
      <w:r>
        <w:rPr>
          <w:vertAlign w:val="superscript"/>
        </w:rPr>
        <w:t>3</w:t>
      </w:r>
      <w:r>
        <w:t xml:space="preserve">). PE on üks lihtsaima ehitusega poolkristalle, kus kristallilised piirkonnad vahelduvad korrastamata amorfsete faasidega. Tänu lineaarsele ja lihtsale ehitusele kasutatakse PE-d laialdaselt polümeeride struktuurides sõrestike ja ühendusahelatena </w:t>
      </w:r>
      <w:sdt>
        <w:sdtPr>
          <w:id w:val="321296"/>
          <w:citation/>
        </w:sdtPr>
        <w:sdtContent>
          <w:fldSimple w:instr=" CITATION E \m AF \l 1061  ">
            <w:r w:rsidR="005B76C8">
              <w:rPr>
                <w:noProof/>
              </w:rPr>
              <w:t>[</w:t>
            </w:r>
            <w:hyperlink w:anchor="E" w:history="1">
              <w:r w:rsidR="005B76C8" w:rsidRPr="005B76C8">
                <w:rPr>
                  <w:rStyle w:val="Heading2Char"/>
                  <w:rFonts w:eastAsiaTheme="minorHAnsi" w:cstheme="minorBidi"/>
                  <w:noProof/>
                  <w:sz w:val="24"/>
                  <w:szCs w:val="22"/>
                </w:rPr>
                <w:t>30</w:t>
              </w:r>
            </w:hyperlink>
            <w:r w:rsidR="005B76C8">
              <w:rPr>
                <w:noProof/>
              </w:rPr>
              <w:t>,</w:t>
            </w:r>
            <w:hyperlink w:anchor="AF" w:history="1">
              <w:r w:rsidR="005B76C8" w:rsidRPr="005B76C8">
                <w:rPr>
                  <w:rStyle w:val="Heading2Char"/>
                  <w:rFonts w:eastAsiaTheme="minorHAnsi" w:cstheme="minorBidi"/>
                  <w:noProof/>
                  <w:sz w:val="24"/>
                  <w:szCs w:val="22"/>
                </w:rPr>
                <w:t>31</w:t>
              </w:r>
            </w:hyperlink>
            <w:r w:rsidR="005B76C8">
              <w:rPr>
                <w:noProof/>
              </w:rPr>
              <w:t>]</w:t>
            </w:r>
          </w:fldSimple>
        </w:sdtContent>
      </w:sdt>
      <w:r>
        <w:t>.</w:t>
      </w:r>
    </w:p>
    <w:p w:rsidR="00C632B4" w:rsidRDefault="00C632B4" w:rsidP="005B76C8">
      <w:pPr>
        <w:jc w:val="center"/>
      </w:pPr>
      <w:r>
        <w:rPr>
          <w:noProof/>
          <w:lang w:eastAsia="et-EE"/>
        </w:rPr>
        <w:drawing>
          <wp:inline distT="0" distB="0" distL="0" distR="0">
            <wp:extent cx="4705534" cy="3074357"/>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17144" cy="3081942"/>
                    </a:xfrm>
                    <a:prstGeom prst="rect">
                      <a:avLst/>
                    </a:prstGeom>
                    <a:noFill/>
                    <a:ln w="9525">
                      <a:noFill/>
                      <a:miter lim="800000"/>
                      <a:headEnd/>
                      <a:tailEnd/>
                    </a:ln>
                  </pic:spPr>
                </pic:pic>
              </a:graphicData>
            </a:graphic>
          </wp:inline>
        </w:drawing>
      </w:r>
    </w:p>
    <w:p w:rsidR="002402D4" w:rsidRDefault="00C632B4" w:rsidP="005B76C8">
      <w:pPr>
        <w:rPr>
          <w:rFonts w:eastAsiaTheme="majorEastAsia" w:cstheme="majorBidi"/>
          <w:bCs/>
          <w:color w:val="000000" w:themeColor="text1"/>
          <w:sz w:val="32"/>
          <w:szCs w:val="28"/>
        </w:rPr>
      </w:pPr>
      <w:r w:rsidRPr="000B41E1">
        <w:rPr>
          <w:b/>
        </w:rPr>
        <w:t>Joonis 3:</w:t>
      </w:r>
      <w:r>
        <w:t xml:space="preserve"> Neljast -(CH</w:t>
      </w:r>
      <w:r>
        <w:rPr>
          <w:vertAlign w:val="subscript"/>
        </w:rPr>
        <w:t>2</w:t>
      </w:r>
      <w:r>
        <w:t>)-  monomeeri</w:t>
      </w:r>
      <w:r w:rsidR="00F23870">
        <w:t xml:space="preserve"> lüli</w:t>
      </w:r>
      <w:r>
        <w:t>st koosnev lõik</w:t>
      </w:r>
      <w:r w:rsidRPr="00D905B5">
        <w:t xml:space="preserve"> P</w:t>
      </w:r>
      <w:r>
        <w:t>E ahela</w:t>
      </w:r>
      <w:r w:rsidR="00C36761">
        <w:t>s</w:t>
      </w:r>
      <w:r>
        <w:t>t</w:t>
      </w:r>
      <w:r w:rsidR="004A2280">
        <w:t>.</w:t>
      </w:r>
      <w:r>
        <w:t xml:space="preserve"> </w:t>
      </w:r>
      <w:r w:rsidR="002402D4">
        <w:br w:type="page"/>
      </w:r>
    </w:p>
    <w:p w:rsidR="00C632B4" w:rsidRPr="00333497" w:rsidRDefault="00C632B4" w:rsidP="007D722A">
      <w:pPr>
        <w:pStyle w:val="Heading1"/>
      </w:pPr>
      <w:bookmarkStart w:id="37" w:name="_Toc325224174"/>
      <w:r w:rsidRPr="00333497">
        <w:lastRenderedPageBreak/>
        <w:t>3.   METOODIKA</w:t>
      </w:r>
      <w:bookmarkEnd w:id="37"/>
    </w:p>
    <w:p w:rsidR="00C632B4" w:rsidRPr="00C36CE6" w:rsidRDefault="00C632B4" w:rsidP="00AF1811">
      <w:pPr>
        <w:pStyle w:val="Heading2"/>
        <w:rPr>
          <w:b/>
        </w:rPr>
      </w:pPr>
      <w:bookmarkStart w:id="38" w:name="_Toc231118065"/>
      <w:bookmarkStart w:id="39" w:name="_Toc321348211"/>
      <w:bookmarkStart w:id="40" w:name="_Toc325224175"/>
      <w:r w:rsidRPr="00C36CE6">
        <w:t>3.1.  Molekulaardünaamika</w:t>
      </w:r>
      <w:bookmarkEnd w:id="38"/>
      <w:bookmarkEnd w:id="39"/>
      <w:bookmarkEnd w:id="40"/>
    </w:p>
    <w:p w:rsidR="00092E79" w:rsidRDefault="00C632B4" w:rsidP="007D722A">
      <w:r>
        <w:rPr>
          <w:lang w:val="sq-AL"/>
        </w:rPr>
        <w:t xml:space="preserve">Materjalide uurimise meetodina kasutatakse viimasel ajal üha enam molekulaardünaamilisi (MD) simulatsioone, </w:t>
      </w:r>
      <w:r>
        <w:t xml:space="preserve">mis annab võimaluse uurida ja paremini mõista materjalide </w:t>
      </w:r>
      <w:r w:rsidRPr="00F518E9">
        <w:t>mikroskoopilis-dünaamilisi</w:t>
      </w:r>
      <w:r>
        <w:t xml:space="preserve"> omadusi</w:t>
      </w:r>
      <w:r w:rsidR="00E80D8F">
        <w:t xml:space="preserve"> </w:t>
      </w:r>
      <w:sdt>
        <w:sdtPr>
          <w:id w:val="321297"/>
          <w:citation/>
        </w:sdtPr>
        <w:sdtContent>
          <w:fldSimple w:instr=" CITATION L \l 1061  ">
            <w:r w:rsidR="005B76C8">
              <w:rPr>
                <w:noProof/>
              </w:rPr>
              <w:t>[</w:t>
            </w:r>
            <w:hyperlink w:anchor="L" w:history="1">
              <w:r w:rsidR="005B76C8" w:rsidRPr="005B76C8">
                <w:rPr>
                  <w:rStyle w:val="Heading2Char"/>
                  <w:rFonts w:eastAsiaTheme="minorHAnsi" w:cstheme="minorBidi"/>
                  <w:noProof/>
                  <w:sz w:val="24"/>
                  <w:szCs w:val="22"/>
                </w:rPr>
                <w:t>32</w:t>
              </w:r>
            </w:hyperlink>
            <w:r w:rsidR="005B76C8">
              <w:rPr>
                <w:noProof/>
              </w:rPr>
              <w:t>]</w:t>
            </w:r>
          </w:fldSimple>
        </w:sdtContent>
      </w:sdt>
      <w:r>
        <w:t xml:space="preserve">. MD võimaldab simuleerida osakeste liikumist aines ja anda lähemat infot neid ümbritseva keskkonna struktuuri ning selle ajaliste muutuste kohta. Oma olemuselt kujutab MD simulatsioon klassikalise N-keha probleemi lahendamist numbrilisel meetodil, </w:t>
      </w:r>
      <w:r w:rsidR="000B15C5">
        <w:t>mille tulemusel saada</w:t>
      </w:r>
      <w:r w:rsidR="002A4604">
        <w:t>k</w:t>
      </w:r>
      <w:r w:rsidR="000B15C5">
        <w:t xml:space="preserve">se </w:t>
      </w:r>
      <w:r>
        <w:t>omavahel vastasmõjus olevate aatomite ja ioonide</w:t>
      </w:r>
      <w:r w:rsidR="003D58DF">
        <w:t xml:space="preserve"> positsioonide</w:t>
      </w:r>
      <w:r>
        <w:t xml:space="preserve"> ajali</w:t>
      </w:r>
      <w:r w:rsidR="003D58DF">
        <w:t>n</w:t>
      </w:r>
      <w:r>
        <w:t xml:space="preserve">e evolutsioon. Selline simulatsioonimeetod </w:t>
      </w:r>
      <w:r w:rsidR="00411B8D">
        <w:t>arvutab kogu süst</w:t>
      </w:r>
      <w:r w:rsidR="008F1977">
        <w:t>eemi potensiaalse energia (avaldis</w:t>
      </w:r>
      <w:r w:rsidR="003B2430">
        <w:t xml:space="preserve"> 5</w:t>
      </w:r>
      <w:r w:rsidR="00411B8D">
        <w:t>)</w:t>
      </w:r>
      <w:r w:rsidR="007F04F8">
        <w:t>, mille negatiivne gradient annab aatomi</w:t>
      </w:r>
      <w:r w:rsidR="007E2C7A">
        <w:t>te</w:t>
      </w:r>
      <w:r w:rsidR="007F04F8">
        <w:t>le mõjuva</w:t>
      </w:r>
      <w:r w:rsidR="007E2C7A">
        <w:t>d</w:t>
      </w:r>
      <w:r w:rsidR="007F04F8">
        <w:t xml:space="preserve"> jõu</w:t>
      </w:r>
      <w:r w:rsidR="007E2C7A">
        <w:t>d</w:t>
      </w:r>
      <w:r w:rsidR="008F1977">
        <w:t xml:space="preserve"> (avaldis</w:t>
      </w:r>
      <w:r w:rsidR="007F04F8">
        <w:t xml:space="preserve"> </w:t>
      </w:r>
      <w:r w:rsidR="003B2430">
        <w:t>6</w:t>
      </w:r>
      <w:r w:rsidR="007F04F8">
        <w:t>).</w:t>
      </w:r>
      <w:r w:rsidR="00411B8D">
        <w:t xml:space="preserve"> </w:t>
      </w:r>
      <w:r w:rsidR="007E2C7A">
        <w:t xml:space="preserve">Nendest omakorda arvutatakse </w:t>
      </w:r>
      <w:r>
        <w:t xml:space="preserve">klassikalisi Newtoni </w:t>
      </w:r>
      <w:r w:rsidR="00993E99">
        <w:t>liikumisvõrrandeid</w:t>
      </w:r>
      <w:r w:rsidR="007E2C7A">
        <w:t xml:space="preserve"> kasutades</w:t>
      </w:r>
      <w:r w:rsidR="00411B8D">
        <w:t xml:space="preserve"> (</w:t>
      </w:r>
      <w:r w:rsidR="004A1580">
        <w:t>avaldis</w:t>
      </w:r>
      <w:r w:rsidR="00411B8D">
        <w:t xml:space="preserve"> </w:t>
      </w:r>
      <w:r w:rsidR="003B2430">
        <w:t>7</w:t>
      </w:r>
      <w:r w:rsidR="00411B8D">
        <w:t>)</w:t>
      </w:r>
      <w:r w:rsidR="007E2C7A">
        <w:t xml:space="preserve">, </w:t>
      </w:r>
      <w:r>
        <w:t>osakeste kiirendused, millede integreerimisel saadakse järgmisel ajahetkel</w:t>
      </w:r>
      <w:r w:rsidR="00D639E3">
        <w:t xml:space="preserve"> (</w:t>
      </w:r>
      <w:r w:rsidR="00D639E3">
        <w:rPr>
          <w:rFonts w:ascii="Cambria Math" w:hAnsi="Cambria Math"/>
        </w:rPr>
        <w:t>𝛥</w:t>
      </w:r>
      <w:r w:rsidR="00D639E3">
        <w:t>t)</w:t>
      </w:r>
      <w:r>
        <w:t xml:space="preserve"> osakeste uued asukohad</w:t>
      </w:r>
      <w:r w:rsidR="007E2C7A">
        <w:t xml:space="preserve"> ja kiirused</w:t>
      </w:r>
      <w:r w:rsidR="007F04F8" w:rsidRPr="007F04F8">
        <w:t xml:space="preserve"> </w:t>
      </w:r>
      <w:sdt>
        <w:sdtPr>
          <w:id w:val="165826242"/>
          <w:citation/>
        </w:sdtPr>
        <w:sdtContent>
          <w:fldSimple w:instr=" CITATION N \m V \l 1061  ">
            <w:r w:rsidR="005B76C8">
              <w:rPr>
                <w:noProof/>
              </w:rPr>
              <w:t>[</w:t>
            </w:r>
            <w:hyperlink w:anchor="N" w:history="1">
              <w:r w:rsidR="005B76C8" w:rsidRPr="005B76C8">
                <w:rPr>
                  <w:rStyle w:val="Heading2Char"/>
                  <w:rFonts w:eastAsiaTheme="minorHAnsi" w:cstheme="minorBidi"/>
                  <w:noProof/>
                  <w:sz w:val="24"/>
                  <w:szCs w:val="22"/>
                </w:rPr>
                <w:t>33</w:t>
              </w:r>
            </w:hyperlink>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rsidR="007F04F8">
        <w:t xml:space="preserve">. Antud juhul kasutati </w:t>
      </w:r>
      <w:r w:rsidR="007E2C7A">
        <w:t xml:space="preserve">numbriliseks integreerimiseks </w:t>
      </w:r>
      <w:r w:rsidR="007F04F8">
        <w:t>Verlet meetodit</w:t>
      </w:r>
      <w:r w:rsidR="00411B8D">
        <w:t xml:space="preserve"> (</w:t>
      </w:r>
      <w:r w:rsidR="004A1580">
        <w:t>avaldis</w:t>
      </w:r>
      <w:r w:rsidR="00411B8D">
        <w:t xml:space="preserve"> </w:t>
      </w:r>
      <w:r w:rsidR="003B2430">
        <w:t>8</w:t>
      </w:r>
      <w:r w:rsidR="00F152CE">
        <w:t>-</w:t>
      </w:r>
      <w:r w:rsidR="003B2430">
        <w:t>10</w:t>
      </w:r>
      <w:r w:rsidR="00411B8D">
        <w:t>)</w:t>
      </w:r>
      <w:r w:rsidR="007E2C7A">
        <w:t xml:space="preserve"> </w:t>
      </w:r>
      <w:sdt>
        <w:sdtPr>
          <w:id w:val="165826243"/>
          <w:citation/>
        </w:sdtPr>
        <w:sdtContent>
          <w:fldSimple w:instr=" CITATION V \m Ohn99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hyperlink w:anchor="Ohn99" w:history="1">
              <w:r w:rsidR="005B76C8" w:rsidRPr="005B76C8">
                <w:rPr>
                  <w:rStyle w:val="Heading2Char"/>
                  <w:rFonts w:eastAsiaTheme="minorHAnsi" w:cstheme="minorBidi"/>
                  <w:noProof/>
                  <w:sz w:val="24"/>
                  <w:szCs w:val="22"/>
                </w:rPr>
                <w:t>35</w:t>
              </w:r>
            </w:hyperlink>
            <w:r w:rsidR="005B76C8">
              <w:rPr>
                <w:noProof/>
              </w:rPr>
              <w:t>]</w:t>
            </w:r>
          </w:fldSimple>
        </w:sdtContent>
      </w:sdt>
      <w:r>
        <w:t xml:space="preserve">. </w:t>
      </w:r>
    </w:p>
    <w:p w:rsidR="002402D4" w:rsidRDefault="002402D4" w:rsidP="007D722A"/>
    <w:p w:rsidR="005C3BA4" w:rsidRDefault="005C3BA4" w:rsidP="005C3BA4">
      <w:pPr>
        <w:jc w:val="center"/>
        <w:rPr>
          <w:rFonts w:eastAsiaTheme="minorEastAsia"/>
        </w:rPr>
      </w:pPr>
      <m:oMath>
        <m:r>
          <w:rPr>
            <w:rFonts w:ascii="Cambria Math" w:hAnsi="Cambria Math"/>
            <w:sz w:val="28"/>
            <w:szCs w:val="28"/>
          </w:rPr>
          <m:t>U</m:t>
        </m:r>
        <m:d>
          <m:dPr>
            <m:ctrlPr>
              <w:rPr>
                <w:rFonts w:ascii="Cambria Math" w:hAnsi="Cambria Math"/>
                <w:sz w:val="28"/>
                <w:szCs w:val="28"/>
              </w:rPr>
            </m:ctrlPr>
          </m:d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e>
            </m:acc>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e>
            </m:acc>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e>
            </m:acc>
          </m:e>
        </m:d>
        <m:r>
          <m:rPr>
            <m:sty m:val="p"/>
          </m:rPr>
          <w:rPr>
            <w:rFonts w:ascii="Cambria Math" w:hAnsi="Cambria Math"/>
            <w:sz w:val="28"/>
            <w:szCs w:val="28"/>
          </w:rPr>
          <m:t>=U(</m:t>
        </m:r>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m:t>
        </m:r>
      </m:oMath>
      <w:r w:rsidR="001C0D19">
        <w:rPr>
          <w:rFonts w:eastAsiaTheme="minorEastAsia"/>
        </w:rPr>
        <w:t xml:space="preserve"> </w:t>
      </w:r>
      <w:r w:rsidR="003B2430">
        <w:rPr>
          <w:rFonts w:eastAsiaTheme="minorEastAsia"/>
        </w:rPr>
        <w:t xml:space="preserve">   </w:t>
      </w:r>
      <w:r w:rsidR="004938F1">
        <w:rPr>
          <w:rFonts w:eastAsiaTheme="minorEastAsia"/>
        </w:rPr>
        <w:t xml:space="preserve">  </w:t>
      </w:r>
      <w:r w:rsidR="003B2430">
        <w:rPr>
          <w:rFonts w:eastAsiaTheme="minorEastAsia"/>
        </w:rPr>
        <w:t xml:space="preserve">  (5</w:t>
      </w:r>
      <w:r>
        <w:rPr>
          <w:rFonts w:eastAsiaTheme="minorEastAsia"/>
        </w:rPr>
        <w:t>)</w:t>
      </w:r>
    </w:p>
    <w:p w:rsidR="007F04F8" w:rsidRDefault="00B23348" w:rsidP="005C3BA4">
      <w:pPr>
        <w:jc w:val="center"/>
        <w:rPr>
          <w:rFonts w:eastAsiaTheme="minorEastAsia"/>
        </w:rPr>
      </w:p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e>
          <m:sub>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t>
                    </m:r>
                  </m:sub>
                </m:sSub>
              </m:e>
            </m:acc>
          </m:sub>
        </m:sSub>
        <m:r>
          <w:rPr>
            <w:rFonts w:ascii="Cambria Math" w:hAnsi="Cambria Math"/>
            <w:sz w:val="28"/>
            <w:szCs w:val="28"/>
          </w:rPr>
          <m:t xml:space="preserve"> U(</m:t>
        </m:r>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m:t>
        </m:r>
      </m:oMath>
      <w:r w:rsidR="007F04F8">
        <w:rPr>
          <w:rFonts w:eastAsiaTheme="minorEastAsia"/>
          <w:sz w:val="28"/>
          <w:szCs w:val="28"/>
        </w:rPr>
        <w:t xml:space="preserve">  </w:t>
      </w:r>
      <w:r w:rsidR="001C0D19">
        <w:rPr>
          <w:rFonts w:eastAsiaTheme="minorEastAsia"/>
          <w:sz w:val="28"/>
          <w:szCs w:val="28"/>
        </w:rPr>
        <w:t xml:space="preserve">              </w:t>
      </w:r>
      <w:r w:rsidR="007F04F8">
        <w:rPr>
          <w:rFonts w:eastAsiaTheme="minorEastAsia"/>
          <w:sz w:val="28"/>
          <w:szCs w:val="28"/>
        </w:rPr>
        <w:t xml:space="preserve"> </w:t>
      </w:r>
      <w:r w:rsidR="007F04F8" w:rsidRPr="007F04F8">
        <w:rPr>
          <w:rFonts w:eastAsiaTheme="minorEastAsia"/>
          <w:szCs w:val="24"/>
        </w:rPr>
        <w:t>(</w:t>
      </w:r>
      <w:r w:rsidR="003B2430">
        <w:rPr>
          <w:rFonts w:eastAsiaTheme="minorEastAsia"/>
          <w:szCs w:val="24"/>
        </w:rPr>
        <w:t>6</w:t>
      </w:r>
      <w:r w:rsidR="007F04F8" w:rsidRPr="007F04F8">
        <w:rPr>
          <w:rFonts w:eastAsiaTheme="minorEastAsia"/>
          <w:szCs w:val="24"/>
        </w:rPr>
        <w:t>)</w:t>
      </w:r>
    </w:p>
    <w:p w:rsidR="005C3BA4" w:rsidRDefault="00B23348" w:rsidP="005C3BA4">
      <w:pPr>
        <w:jc w:val="center"/>
        <w:rPr>
          <w:rFonts w:eastAsiaTheme="minorEastAsia"/>
        </w:rPr>
      </w:pP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k</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t>
                    </m:r>
                  </m:sub>
                </m:sSub>
              </m:e>
            </m:acc>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e>
        </m:acc>
      </m:oMath>
      <w:r w:rsidR="005C3BA4">
        <w:rPr>
          <w:rFonts w:eastAsiaTheme="minorEastAsia"/>
        </w:rPr>
        <w:t xml:space="preserve">    </w:t>
      </w:r>
      <w:r w:rsidR="001C0D19">
        <w:rPr>
          <w:rFonts w:eastAsiaTheme="minorEastAsia"/>
        </w:rPr>
        <w:t xml:space="preserve">                    </w:t>
      </w:r>
      <w:r w:rsidR="005C3BA4">
        <w:rPr>
          <w:rFonts w:eastAsiaTheme="minorEastAsia"/>
        </w:rPr>
        <w:t xml:space="preserve">   (</w:t>
      </w:r>
      <w:r w:rsidR="003B2430">
        <w:rPr>
          <w:rFonts w:eastAsiaTheme="minorEastAsia"/>
        </w:rPr>
        <w:t>7</w:t>
      </w:r>
      <w:r w:rsidR="005C3BA4">
        <w:rPr>
          <w:rFonts w:eastAsiaTheme="minorEastAsia"/>
        </w:rPr>
        <w:t>)</w:t>
      </w:r>
    </w:p>
    <w:p w:rsidR="00F152CE" w:rsidRDefault="00B23348" w:rsidP="005C3BA4">
      <w:pPr>
        <w:jc w:val="center"/>
        <w:rPr>
          <w:rFonts w:eastAsiaTheme="minorEastAsia"/>
        </w:rPr>
      </w:p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e>
        </m:acc>
        <m:d>
          <m:dPr>
            <m:ctrlPr>
              <w:rPr>
                <w:rFonts w:ascii="Cambria Math" w:hAnsi="Cambria Math"/>
                <w:sz w:val="28"/>
                <w:szCs w:val="28"/>
              </w:rPr>
            </m:ctrlPr>
          </m:dPr>
          <m:e>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Δt</m:t>
            </m:r>
          </m:e>
        </m:d>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Δt∙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e>
            </m:acc>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k</m:t>
                </m:r>
              </m:sub>
            </m:sSub>
          </m:den>
        </m:f>
        <m:r>
          <m:rPr>
            <m:sty m:val="p"/>
          </m:rPr>
          <w:rPr>
            <w:rFonts w:ascii="Cambria Math" w:hAnsi="Cambria Math"/>
          </w:rPr>
          <m:t xml:space="preserve"> </m:t>
        </m:r>
      </m:oMath>
      <w:r w:rsidR="00F152CE">
        <w:rPr>
          <w:rFonts w:eastAsiaTheme="minorEastAsia"/>
        </w:rPr>
        <w:t xml:space="preserve">  </w:t>
      </w:r>
      <w:r w:rsidR="0023370A">
        <w:rPr>
          <w:rFonts w:eastAsiaTheme="minorEastAsia"/>
        </w:rPr>
        <w:t xml:space="preserve">                     </w:t>
      </w:r>
      <w:r w:rsidR="00F152CE">
        <w:rPr>
          <w:rFonts w:eastAsiaTheme="minorEastAsia"/>
        </w:rPr>
        <w:t xml:space="preserve"> </w:t>
      </w:r>
      <w:r w:rsidR="003B2430">
        <w:rPr>
          <w:rFonts w:eastAsiaTheme="minorEastAsia"/>
        </w:rPr>
        <w:t xml:space="preserve">  (8</w:t>
      </w:r>
      <w:r w:rsidR="00F152CE">
        <w:rPr>
          <w:rFonts w:eastAsiaTheme="minorEastAsia"/>
        </w:rPr>
        <w:t>)</w:t>
      </w:r>
    </w:p>
    <w:p w:rsidR="00411B8D" w:rsidRDefault="00B23348" w:rsidP="00D639E3">
      <w:pPr>
        <w:jc w:val="center"/>
        <w:rPr>
          <w:rFonts w:eastAsiaTheme="minorEastAsia"/>
        </w:rPr>
      </w:p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t>
                </m:r>
              </m:sub>
            </m:sSub>
          </m:e>
        </m:acc>
        <m:d>
          <m:dPr>
            <m:ctrlPr>
              <w:rPr>
                <w:rFonts w:ascii="Cambria Math" w:hAnsi="Cambria Math"/>
                <w:sz w:val="28"/>
                <w:szCs w:val="28"/>
              </w:rPr>
            </m:ctrlPr>
          </m:dPr>
          <m:e>
            <m:r>
              <w:rPr>
                <w:rFonts w:ascii="Cambria Math" w:hAnsi="Cambria Math"/>
                <w:sz w:val="28"/>
                <w:szCs w:val="28"/>
              </w:rPr>
              <m:t>t+Δt</m:t>
            </m:r>
          </m:e>
        </m:d>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t>
                </m:r>
              </m:sub>
            </m:sSub>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+Δt∙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e>
        </m:acc>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Δt)</m:t>
        </m:r>
      </m:oMath>
      <w:r w:rsidR="00D639E3">
        <w:rPr>
          <w:rFonts w:eastAsiaTheme="minorEastAsia"/>
        </w:rPr>
        <w:t xml:space="preserve">    </w:t>
      </w:r>
      <w:r w:rsidR="0023370A">
        <w:rPr>
          <w:rFonts w:eastAsiaTheme="minorEastAsia"/>
        </w:rPr>
        <w:t xml:space="preserve">             </w:t>
      </w:r>
      <w:r w:rsidR="00D639E3">
        <w:rPr>
          <w:rFonts w:eastAsiaTheme="minorEastAsia"/>
        </w:rPr>
        <w:t>(</w:t>
      </w:r>
      <w:r w:rsidR="003B2430">
        <w:rPr>
          <w:rFonts w:eastAsiaTheme="minorEastAsia"/>
        </w:rPr>
        <w:t>9</w:t>
      </w:r>
      <w:r w:rsidR="00D639E3">
        <w:rPr>
          <w:rFonts w:eastAsiaTheme="minorEastAsia"/>
        </w:rPr>
        <w:t>)</w:t>
      </w:r>
    </w:p>
    <w:p w:rsidR="00F152CE" w:rsidRDefault="00B23348" w:rsidP="00D639E3">
      <w:pPr>
        <w:jc w:val="center"/>
        <w:rPr>
          <w:rFonts w:eastAsiaTheme="minorEastAsia"/>
          <w:szCs w:val="24"/>
        </w:rPr>
      </w:pP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e>
        </m:acc>
        <m:d>
          <m:dPr>
            <m:ctrlPr>
              <w:rPr>
                <w:rFonts w:ascii="Cambria Math" w:hAnsi="Cambria Math"/>
                <w:sz w:val="28"/>
                <w:szCs w:val="28"/>
              </w:rPr>
            </m:ctrlPr>
          </m:dPr>
          <m:e>
            <m:r>
              <w:rPr>
                <w:rFonts w:ascii="Cambria Math" w:hAnsi="Cambria Math"/>
                <w:sz w:val="28"/>
                <w:szCs w:val="28"/>
              </w:rPr>
              <m:t>t+Δt</m:t>
            </m:r>
          </m:e>
        </m:d>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e>
        </m:acc>
        <m:d>
          <m:dPr>
            <m:ctrlPr>
              <w:rPr>
                <w:rFonts w:ascii="Cambria Math" w:hAnsi="Cambria Math"/>
                <w:i/>
                <w:sz w:val="28"/>
                <w:szCs w:val="28"/>
              </w:rPr>
            </m:ctrlPr>
          </m:dPr>
          <m:e>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Δt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Δt∙</m:t>
        </m:r>
        <m:f>
          <m:fPr>
            <m:ctrlPr>
              <w:rPr>
                <w:rFonts w:ascii="Cambria Math" w:hAnsi="Cambria Math"/>
                <w:i/>
                <w:sz w:val="28"/>
                <w:szCs w:val="28"/>
              </w:rPr>
            </m:ctrlPr>
          </m:fPr>
          <m:num>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e>
            </m:acc>
            <m:r>
              <w:rPr>
                <w:rFonts w:ascii="Cambria Math" w:hAnsi="Cambria Math"/>
                <w:sz w:val="28"/>
                <w:szCs w:val="28"/>
              </w:rPr>
              <m:t>(t+Δt)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k</m:t>
                </m:r>
              </m:sub>
            </m:sSub>
          </m:den>
        </m:f>
      </m:oMath>
      <w:r w:rsidR="003B2430">
        <w:rPr>
          <w:rFonts w:eastAsiaTheme="minorEastAsia"/>
          <w:szCs w:val="24"/>
        </w:rPr>
        <w:t xml:space="preserve">       (10</w:t>
      </w:r>
      <w:r w:rsidR="0023370A" w:rsidRPr="0023370A">
        <w:rPr>
          <w:rFonts w:eastAsiaTheme="minorEastAsia"/>
          <w:szCs w:val="24"/>
        </w:rPr>
        <w:t>)</w:t>
      </w:r>
    </w:p>
    <w:p w:rsidR="00A63CEF" w:rsidRPr="004938F1" w:rsidRDefault="00A63CEF" w:rsidP="00A63CEF">
      <w:pPr>
        <w:rPr>
          <w:rFonts w:ascii="Cambria Math" w:eastAsiaTheme="minorEastAsia" w:hAnsi="Cambria Math"/>
          <w:szCs w:val="24"/>
        </w:rPr>
      </w:pPr>
      <m:oMath>
        <m:r>
          <w:rPr>
            <w:rFonts w:ascii="Cambria Math" w:hAnsi="Cambria Math"/>
            <w:szCs w:val="24"/>
          </w:rPr>
          <m:t>U</m:t>
        </m:r>
        <m:d>
          <m:dPr>
            <m:ctrlPr>
              <w:rPr>
                <w:rFonts w:ascii="Cambria Math" w:hAnsi="Cambria Math"/>
                <w:szCs w:val="24"/>
              </w:rPr>
            </m:ctrlPr>
          </m:dPr>
          <m:e>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e>
            </m:acc>
          </m:e>
        </m:d>
      </m:oMath>
      <w:r w:rsidRPr="00A63CEF">
        <w:rPr>
          <w:rFonts w:eastAsiaTheme="minorEastAsia"/>
          <w:szCs w:val="24"/>
        </w:rPr>
        <w:t xml:space="preserve"> </w:t>
      </w:r>
      <w:r>
        <w:rPr>
          <w:rFonts w:eastAsiaTheme="minorEastAsia"/>
          <w:szCs w:val="24"/>
        </w:rPr>
        <w:t>–</w:t>
      </w:r>
      <w:r>
        <w:rPr>
          <w:rFonts w:eastAsiaTheme="minorEastAsia"/>
          <w:sz w:val="28"/>
          <w:szCs w:val="28"/>
        </w:rPr>
        <w:t xml:space="preserve"> </w:t>
      </w:r>
      <w:r>
        <w:rPr>
          <w:rFonts w:eastAsiaTheme="minorEastAsia"/>
          <w:szCs w:val="24"/>
        </w:rPr>
        <w:t>osakese poten</w:t>
      </w:r>
      <w:r w:rsidR="009314B2">
        <w:rPr>
          <w:rFonts w:eastAsiaTheme="minorEastAsia"/>
          <w:szCs w:val="24"/>
        </w:rPr>
        <w:t>t</w:t>
      </w:r>
      <w:r>
        <w:rPr>
          <w:rFonts w:eastAsiaTheme="minorEastAsia"/>
          <w:szCs w:val="24"/>
        </w:rPr>
        <w:t>siaalne energia;</w:t>
      </w:r>
      <w:r>
        <w:rPr>
          <w:rFonts w:eastAsiaTheme="minorEastAsia"/>
          <w:sz w:val="28"/>
          <w:szCs w:val="28"/>
        </w:rPr>
        <w:t xml:space="preserve"> </w:t>
      </w:r>
      <m:oMath>
        <m:r>
          <w:rPr>
            <w:rFonts w:ascii="Cambria Math" w:hAnsi="Cambria Math"/>
            <w:szCs w:val="24"/>
          </w:rPr>
          <m:t>U(</m:t>
        </m:r>
        <m:acc>
          <m:accPr>
            <m:chr m:val="⃗"/>
            <m:ctrlPr>
              <w:rPr>
                <w:rFonts w:ascii="Cambria Math" w:hAnsi="Cambria Math"/>
                <w:i/>
                <w:szCs w:val="24"/>
              </w:rPr>
            </m:ctrlPr>
          </m:accPr>
          <m:e>
            <m:r>
              <w:rPr>
                <w:rFonts w:ascii="Cambria Math" w:hAnsi="Cambria Math"/>
                <w:szCs w:val="24"/>
              </w:rPr>
              <m:t>R</m:t>
            </m:r>
          </m:e>
        </m:acc>
        <m:r>
          <w:rPr>
            <w:rFonts w:ascii="Cambria Math" w:hAnsi="Cambria Math"/>
            <w:szCs w:val="24"/>
          </w:rPr>
          <m:t>)</m:t>
        </m:r>
      </m:oMath>
      <w:r>
        <w:rPr>
          <w:rFonts w:eastAsiaTheme="minorEastAsia"/>
          <w:szCs w:val="24"/>
        </w:rPr>
        <w:t xml:space="preserve"> </w:t>
      </w:r>
      <w:r w:rsidR="008E4C7A">
        <w:rPr>
          <w:rFonts w:eastAsiaTheme="minorEastAsia"/>
          <w:szCs w:val="24"/>
        </w:rPr>
        <w:t>–</w:t>
      </w:r>
      <w:r w:rsidR="008E4C7A">
        <w:rPr>
          <w:rFonts w:eastAsiaTheme="minorEastAsia"/>
          <w:sz w:val="28"/>
          <w:szCs w:val="28"/>
        </w:rPr>
        <w:t xml:space="preserve"> </w:t>
      </w:r>
      <w:r>
        <w:rPr>
          <w:rFonts w:eastAsiaTheme="minorEastAsia"/>
          <w:szCs w:val="24"/>
        </w:rPr>
        <w:t>süsteemi potentsiaalne energia</w:t>
      </w:r>
      <w:r w:rsidR="00B9013F" w:rsidRPr="00216E94">
        <w:rPr>
          <w:rFonts w:eastAsiaTheme="minorEastAsia"/>
          <w:szCs w:val="24"/>
        </w:rPr>
        <w:t>;</w:t>
      </w:r>
      <w:r w:rsidR="004938F1">
        <w:rPr>
          <w:rFonts w:eastAsiaTheme="minorEastAsia"/>
          <w:szCs w:val="24"/>
        </w:rPr>
        <w:t xml:space="preserve"> </w:t>
      </w:r>
      <w:r w:rsidR="00B9013F" w:rsidRPr="00216E94">
        <w:rPr>
          <w:rFonts w:eastAsiaTheme="minorEastAsia"/>
          <w:szCs w:val="24"/>
        </w:rPr>
        <w:t xml:space="preserve"> </w:t>
      </w:r>
      <w:r w:rsidR="004938F1" w:rsidRPr="007156EF">
        <w:rPr>
          <w:rFonts w:eastAsiaTheme="minorEastAsia"/>
          <w:i/>
          <w:szCs w:val="24"/>
        </w:rPr>
        <w:t>m</w:t>
      </w:r>
      <w:r w:rsidR="004938F1" w:rsidRPr="007156EF">
        <w:rPr>
          <w:rFonts w:eastAsiaTheme="minorEastAsia"/>
          <w:i/>
          <w:szCs w:val="24"/>
          <w:vertAlign w:val="subscript"/>
        </w:rPr>
        <w:t>k</w:t>
      </w:r>
      <w:r w:rsidR="004938F1">
        <w:rPr>
          <w:rFonts w:eastAsiaTheme="minorEastAsia"/>
          <w:szCs w:val="24"/>
          <w:vertAlign w:val="subscript"/>
        </w:rPr>
        <w:t xml:space="preserve"> </w:t>
      </w:r>
      <w:r w:rsidR="004938F1">
        <w:rPr>
          <w:rFonts w:eastAsiaTheme="minorEastAsia"/>
          <w:szCs w:val="24"/>
        </w:rPr>
        <w:t xml:space="preserve"> –</w:t>
      </w:r>
      <w:r w:rsidR="004938F1">
        <w:rPr>
          <w:rFonts w:eastAsiaTheme="minorEastAsia"/>
          <w:sz w:val="28"/>
          <w:szCs w:val="28"/>
        </w:rPr>
        <w:t xml:space="preserve"> </w:t>
      </w:r>
      <w:r w:rsidR="004938F1">
        <w:rPr>
          <w:rFonts w:eastAsiaTheme="minorEastAsia"/>
          <w:szCs w:val="24"/>
        </w:rPr>
        <w:t xml:space="preserve"> oasakese </w:t>
      </w:r>
      <w:r w:rsidR="004938F1">
        <w:rPr>
          <w:rFonts w:eastAsiaTheme="minorEastAsia"/>
          <w:i/>
          <w:szCs w:val="24"/>
        </w:rPr>
        <w:t>k</w:t>
      </w:r>
      <w:r w:rsidR="004938F1">
        <w:rPr>
          <w:rFonts w:eastAsiaTheme="minorEastAsia"/>
          <w:szCs w:val="24"/>
        </w:rPr>
        <w:t xml:space="preserve"> mass;   </w:t>
      </w:r>
      <m:oMath>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k</m:t>
                </m:r>
              </m:sub>
            </m:sSub>
          </m:e>
        </m:acc>
      </m:oMath>
      <w:r w:rsidR="004938F1" w:rsidRPr="00A63CEF">
        <w:rPr>
          <w:rFonts w:ascii="Cambria Math" w:eastAsiaTheme="minorEastAsia" w:hAnsi="Cambria Math"/>
          <w:szCs w:val="24"/>
        </w:rPr>
        <w:t xml:space="preserve"> </w:t>
      </w:r>
      <w:r w:rsidR="004938F1">
        <w:rPr>
          <w:rFonts w:eastAsiaTheme="minorEastAsia"/>
          <w:szCs w:val="24"/>
        </w:rPr>
        <w:t>–</w:t>
      </w:r>
      <w:r w:rsidR="004938F1">
        <w:rPr>
          <w:rFonts w:eastAsiaTheme="minorEastAsia"/>
          <w:sz w:val="28"/>
          <w:szCs w:val="28"/>
        </w:rPr>
        <w:t xml:space="preserve"> </w:t>
      </w:r>
      <w:r w:rsidR="004938F1">
        <w:rPr>
          <w:rFonts w:eastAsiaTheme="minorEastAsia"/>
          <w:szCs w:val="24"/>
        </w:rPr>
        <w:t xml:space="preserve"> osakesele </w:t>
      </w:r>
      <w:r w:rsidR="004938F1">
        <w:rPr>
          <w:rFonts w:eastAsiaTheme="minorEastAsia"/>
          <w:i/>
          <w:szCs w:val="24"/>
        </w:rPr>
        <w:t xml:space="preserve">k </w:t>
      </w:r>
      <w:r w:rsidR="004938F1">
        <w:rPr>
          <w:rFonts w:eastAsiaTheme="minorEastAsia"/>
          <w:szCs w:val="24"/>
        </w:rPr>
        <w:t>mõjuv j</w:t>
      </w:r>
      <w:r w:rsidR="004938F1">
        <w:rPr>
          <w:rFonts w:ascii="Cambria Math" w:eastAsiaTheme="minorEastAsia" w:hAnsi="Cambria Math"/>
          <w:szCs w:val="24"/>
        </w:rPr>
        <w:t xml:space="preserve">õud; </w:t>
      </w:r>
      <w:r w:rsidR="00216E94">
        <w:rPr>
          <w:rFonts w:eastAsiaTheme="minorEastAsia"/>
          <w:szCs w:val="24"/>
        </w:rPr>
        <w:t xml:space="preserve"> </w:t>
      </w:r>
      <m:oMath>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k</m:t>
                </m:r>
              </m:sub>
            </m:sSub>
          </m:e>
        </m:acc>
      </m:oMath>
      <w:r w:rsidR="00216E94">
        <w:rPr>
          <w:rFonts w:eastAsiaTheme="minorEastAsia"/>
          <w:szCs w:val="24"/>
        </w:rPr>
        <w:t xml:space="preserve"> – osakese </w:t>
      </w:r>
      <w:r w:rsidR="00216E94">
        <w:rPr>
          <w:rFonts w:eastAsiaTheme="minorEastAsia"/>
          <w:i/>
          <w:szCs w:val="24"/>
        </w:rPr>
        <w:t>k</w:t>
      </w:r>
      <w:r w:rsidR="00216E94">
        <w:rPr>
          <w:rFonts w:eastAsiaTheme="minorEastAsia"/>
          <w:szCs w:val="24"/>
        </w:rPr>
        <w:t xml:space="preserve"> </w:t>
      </w:r>
      <w:r w:rsidR="00B257DC">
        <w:rPr>
          <w:rFonts w:eastAsiaTheme="minorEastAsia"/>
          <w:szCs w:val="24"/>
        </w:rPr>
        <w:t>asukoht</w:t>
      </w:r>
      <w:r w:rsidR="00216E94">
        <w:rPr>
          <w:rFonts w:eastAsiaTheme="minorEastAsia"/>
          <w:szCs w:val="24"/>
        </w:rPr>
        <w:t xml:space="preserve">;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k</m:t>
                </m:r>
              </m:sub>
            </m:sSub>
          </m:e>
        </m:acc>
        <m:r>
          <w:rPr>
            <w:rFonts w:ascii="Cambria Math" w:cs="Times New Roman"/>
            <w:sz w:val="28"/>
            <w:szCs w:val="28"/>
          </w:rPr>
          <m:t xml:space="preserve"> </m:t>
        </m:r>
      </m:oMath>
      <w:r w:rsidR="00B9013F" w:rsidRPr="001D355A">
        <w:rPr>
          <w:rFonts w:eastAsiaTheme="minorEastAsia" w:cs="Times New Roman"/>
          <w:szCs w:val="24"/>
        </w:rPr>
        <w:t xml:space="preserve"> </w:t>
      </w:r>
      <w:r w:rsidR="004938F1">
        <w:rPr>
          <w:rFonts w:eastAsiaTheme="minorEastAsia"/>
          <w:szCs w:val="24"/>
        </w:rPr>
        <w:t>–</w:t>
      </w:r>
      <w:r w:rsidR="001D355A" w:rsidRPr="001D355A">
        <w:rPr>
          <w:rFonts w:eastAsiaTheme="minorEastAsia" w:cs="Times New Roman"/>
          <w:szCs w:val="24"/>
        </w:rPr>
        <w:t xml:space="preserve"> osakese</w:t>
      </w:r>
      <w:r w:rsidR="001D355A">
        <w:rPr>
          <w:rFonts w:eastAsiaTheme="minorEastAsia" w:cs="Times New Roman"/>
          <w:szCs w:val="24"/>
        </w:rPr>
        <w:t xml:space="preserve"> </w:t>
      </w:r>
      <w:r w:rsidR="004938F1">
        <w:rPr>
          <w:rFonts w:eastAsiaTheme="minorEastAsia" w:cs="Times New Roman"/>
          <w:i/>
          <w:szCs w:val="24"/>
        </w:rPr>
        <w:t>k</w:t>
      </w:r>
      <w:r w:rsidR="004938F1">
        <w:rPr>
          <w:rFonts w:eastAsiaTheme="minorEastAsia" w:cs="Times New Roman"/>
          <w:szCs w:val="24"/>
        </w:rPr>
        <w:t xml:space="preserve"> kiirus;  </w:t>
      </w:r>
      <m:oMath>
        <m:r>
          <w:rPr>
            <w:rFonts w:ascii="Cambria Math" w:hAnsi="Cambria Math"/>
            <w:szCs w:val="24"/>
          </w:rPr>
          <m:t>Δt</m:t>
        </m:r>
      </m:oMath>
      <w:r w:rsidR="004938F1">
        <w:rPr>
          <w:rFonts w:eastAsiaTheme="minorEastAsia" w:cs="Times New Roman"/>
          <w:szCs w:val="24"/>
        </w:rPr>
        <w:t xml:space="preserve"> </w:t>
      </w:r>
      <w:r w:rsidR="004938F1">
        <w:rPr>
          <w:rFonts w:eastAsiaTheme="minorEastAsia"/>
          <w:szCs w:val="24"/>
        </w:rPr>
        <w:t>–</w:t>
      </w:r>
      <w:r w:rsidR="004938F1">
        <w:rPr>
          <w:rFonts w:eastAsiaTheme="minorEastAsia" w:cs="Times New Roman"/>
          <w:szCs w:val="24"/>
        </w:rPr>
        <w:t xml:space="preserve"> järgmine ajahetk; </w:t>
      </w:r>
    </w:p>
    <w:p w:rsidR="00C632B4" w:rsidRDefault="00C632B4" w:rsidP="007D722A">
      <w:r>
        <w:lastRenderedPageBreak/>
        <w:t>Simuleeritakse süsteeme, mis sisaldavad kuni 10</w:t>
      </w:r>
      <w:r>
        <w:rPr>
          <w:vertAlign w:val="superscript"/>
        </w:rPr>
        <w:t xml:space="preserve">3 </w:t>
      </w:r>
      <w:r>
        <w:t>aatomit, mõnel juhtumil isegi kuni 10</w:t>
      </w:r>
      <w:r>
        <w:rPr>
          <w:vertAlign w:val="superscript"/>
        </w:rPr>
        <w:t>6</w:t>
      </w:r>
      <w:r>
        <w:t xml:space="preserve"> aatomit ajaskaalas paar nanosekundit kuni sadu nanosekundeid. Simulatsioonide lihtsustamiseks </w:t>
      </w:r>
      <w:r w:rsidR="002D6312">
        <w:t>hoitakse</w:t>
      </w:r>
      <w:r>
        <w:t xml:space="preserve"> temperatuur</w:t>
      </w:r>
      <w:r w:rsidR="002D6312">
        <w:t xml:space="preserve"> konstantsena</w:t>
      </w:r>
      <w:r>
        <w:t>,  mi</w:t>
      </w:r>
      <w:r w:rsidR="002D6312">
        <w:t>s fikseeri</w:t>
      </w:r>
      <w:r w:rsidR="00C36761">
        <w:t>b aatomite</w:t>
      </w:r>
      <w:r w:rsidR="002D6312">
        <w:t xml:space="preserve"> </w:t>
      </w:r>
      <w:r>
        <w:t>kineetilise</w:t>
      </w:r>
      <w:r w:rsidR="002D6312">
        <w:t xml:space="preserve"> </w:t>
      </w:r>
      <w:r>
        <w:t>energia</w:t>
      </w:r>
      <w:r w:rsidR="00E80D8F">
        <w:t xml:space="preserve"> </w:t>
      </w:r>
      <w:sdt>
        <w:sdtPr>
          <w:id w:val="321299"/>
          <w:citation/>
        </w:sdtPr>
        <w:sdtContent>
          <w:fldSimple w:instr=" CITATION N \l 1061  ">
            <w:r w:rsidR="005B76C8">
              <w:rPr>
                <w:noProof/>
              </w:rPr>
              <w:t>[</w:t>
            </w:r>
            <w:hyperlink w:anchor="N" w:history="1">
              <w:r w:rsidR="005B76C8" w:rsidRPr="005B76C8">
                <w:rPr>
                  <w:rStyle w:val="Heading2Char"/>
                  <w:rFonts w:eastAsiaTheme="minorHAnsi" w:cstheme="minorBidi"/>
                  <w:noProof/>
                  <w:sz w:val="24"/>
                  <w:szCs w:val="22"/>
                </w:rPr>
                <w:t>33</w:t>
              </w:r>
            </w:hyperlink>
            <w:r w:rsidR="005B76C8">
              <w:rPr>
                <w:noProof/>
              </w:rPr>
              <w:t>]</w:t>
            </w:r>
          </w:fldSimple>
        </w:sdtContent>
      </w:sdt>
      <w:r>
        <w:t xml:space="preserve">. </w:t>
      </w:r>
    </w:p>
    <w:p w:rsidR="00472C31" w:rsidRDefault="00472C31" w:rsidP="00472C31">
      <w:pPr>
        <w:jc w:val="center"/>
      </w:pPr>
      <w:r>
        <w:rPr>
          <w:noProof/>
          <w:lang w:eastAsia="et-EE"/>
        </w:rPr>
        <w:drawing>
          <wp:inline distT="0" distB="0" distL="0" distR="0">
            <wp:extent cx="2499756" cy="2453614"/>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05878" cy="2459623"/>
                    </a:xfrm>
                    <a:prstGeom prst="rect">
                      <a:avLst/>
                    </a:prstGeom>
                    <a:noFill/>
                    <a:ln w="9525">
                      <a:noFill/>
                      <a:miter lim="800000"/>
                      <a:headEnd/>
                      <a:tailEnd/>
                    </a:ln>
                  </pic:spPr>
                </pic:pic>
              </a:graphicData>
            </a:graphic>
          </wp:inline>
        </w:drawing>
      </w:r>
    </w:p>
    <w:p w:rsidR="005A796C" w:rsidRDefault="005A796C" w:rsidP="005A796C">
      <w:r>
        <w:rPr>
          <w:b/>
        </w:rPr>
        <w:t>Joonis 4</w:t>
      </w:r>
      <w:r w:rsidRPr="000B41E1">
        <w:rPr>
          <w:b/>
        </w:rPr>
        <w:t>:</w:t>
      </w:r>
      <w:r>
        <w:t xml:space="preserve"> </w:t>
      </w:r>
      <w:r w:rsidR="004A2280">
        <w:t>Perioodilised ääretingimused.</w:t>
      </w:r>
      <w:r>
        <w:t xml:space="preserve"> </w:t>
      </w:r>
    </w:p>
    <w:p w:rsidR="00092E79" w:rsidRDefault="00C632B4" w:rsidP="00012E12">
      <w:r>
        <w:t xml:space="preserve"> Et atomaarsel tasemel modelleerides mõõta materjali makroskoopilisi omadusi, on üheks võimaluseks virtuaalselt suurendada uuritava aine kogust. Selleks kasutatakse nii-nimetatud perioodilisi ääretingimusi, mille korral simuleeritav ühik propageeritakse vastavalt sümmeetriareeglitele erinevates suundades</w:t>
      </w:r>
      <w:r w:rsidR="005A796C">
        <w:t xml:space="preserve"> (joonis 4)</w:t>
      </w:r>
      <w:r>
        <w:t xml:space="preserve">. Käesolevas töös kasutatakse risttahuka ääretingimusi. Perioodiliste ääretingimuste korral tähendab osakeste väljumisel simulatsioonirakust ühelt tahult nende sisenemist uuesti simulatsiooniraku vastastahult.  </w:t>
      </w:r>
    </w:p>
    <w:p w:rsidR="00C632B4" w:rsidRDefault="00C632B4" w:rsidP="00AF1811">
      <w:pPr>
        <w:pStyle w:val="Heading2"/>
        <w:rPr>
          <w:b/>
        </w:rPr>
      </w:pPr>
      <w:bookmarkStart w:id="41" w:name="_Toc231118066"/>
      <w:bookmarkStart w:id="42" w:name="_Toc321348212"/>
      <w:bookmarkStart w:id="43" w:name="_Toc325224176"/>
      <w:r w:rsidRPr="00726E73">
        <w:t xml:space="preserve">3.2.  </w:t>
      </w:r>
      <w:r w:rsidR="00C36621">
        <w:t>Simulatsiooni</w:t>
      </w:r>
      <w:r w:rsidR="00C331B8">
        <w:t>tulemuste a</w:t>
      </w:r>
      <w:r w:rsidR="00C36621">
        <w:t>nalüüsi</w:t>
      </w:r>
      <w:r w:rsidR="00A4010C">
        <w:t>m</w:t>
      </w:r>
      <w:r w:rsidRPr="00726E73">
        <w:t>eto</w:t>
      </w:r>
      <w:r w:rsidR="00C331B8">
        <w:t>odika</w:t>
      </w:r>
      <w:bookmarkEnd w:id="41"/>
      <w:bookmarkEnd w:id="42"/>
      <w:bookmarkEnd w:id="43"/>
    </w:p>
    <w:p w:rsidR="00C632B4" w:rsidRDefault="00C632B4" w:rsidP="007D722A">
      <w:pPr>
        <w:pStyle w:val="Heading3"/>
        <w:rPr>
          <w:b/>
        </w:rPr>
      </w:pPr>
      <w:bookmarkStart w:id="44" w:name="_Toc231118067"/>
      <w:bookmarkStart w:id="45" w:name="_Toc321348213"/>
      <w:bookmarkStart w:id="46" w:name="_Toc325224177"/>
      <w:r w:rsidRPr="006C1834">
        <w:t>3.2.1.  Radiaaljaotusfunktsioon ja koordinatsiooniarv</w:t>
      </w:r>
      <w:bookmarkEnd w:id="44"/>
      <w:bookmarkEnd w:id="45"/>
      <w:bookmarkEnd w:id="46"/>
      <w:r w:rsidRPr="006C1834">
        <w:t xml:space="preserve"> </w:t>
      </w:r>
    </w:p>
    <w:p w:rsidR="00C632B4" w:rsidRPr="00A5305B" w:rsidRDefault="00C632B4" w:rsidP="007D722A">
      <w:r>
        <w:t>Molekulaardünaamilisest simulatsioonist saadud osakeste trajektoorist arvutatakse radiaaljaotusfunktsioon</w:t>
      </w:r>
      <w:r w:rsidR="00AB3B17">
        <w:t xml:space="preserve"> (</w:t>
      </w:r>
      <w:r w:rsidR="00C36621">
        <w:t>Radial Distribution Function</w:t>
      </w:r>
      <w:r w:rsidR="00AB3B17">
        <w:t xml:space="preserve">, </w:t>
      </w:r>
      <w:r>
        <w:t>RDF) ja koordinatsiooniarv (CN)</w:t>
      </w:r>
      <w:r w:rsidR="00C36621">
        <w:t>. RDF</w:t>
      </w:r>
      <w:r>
        <w:rPr>
          <w:rFonts w:ascii="TimesNewRoman" w:hAnsi="TimesNewRoman" w:cs="TimesNewRoman"/>
          <w:sz w:val="16"/>
          <w:szCs w:val="16"/>
        </w:rPr>
        <w:t xml:space="preserve"> </w:t>
      </w:r>
      <w:r>
        <w:t xml:space="preserve"> on paarikorrelatsioonifunktsioon, mis kirjeldab</w:t>
      </w:r>
      <w:r w:rsidR="00C36621">
        <w:t xml:space="preserve"> esimest ja teist tüüpi</w:t>
      </w:r>
      <w:r>
        <w:t xml:space="preserve"> aatomite paiknemist üksteise üm</w:t>
      </w:r>
      <w:r w:rsidR="002B29E3">
        <w:t xml:space="preserve">ber (avaldis </w:t>
      </w:r>
      <w:r w:rsidR="003B2430">
        <w:t>11</w:t>
      </w:r>
      <w:r>
        <w:t>).</w:t>
      </w:r>
    </w:p>
    <w:p w:rsidR="00092E79" w:rsidRPr="00DD7533" w:rsidRDefault="00C632B4" w:rsidP="007D722A">
      <w:pPr>
        <w:jc w:val="center"/>
      </w:pPr>
      <m:oMath>
        <m:r>
          <w:rPr>
            <w:rFonts w:ascii="Cambria Math" w:hAnsi="Cambria Math"/>
          </w:rPr>
          <m:t>RDF</m:t>
        </m:r>
        <m:d>
          <m:dPr>
            <m:ctrlPr>
              <w:rPr>
                <w:rFonts w:ascii="Cambria Math" w:hAnsi="Cambria Math"/>
              </w:rPr>
            </m:ctrlPr>
          </m:dPr>
          <m:e>
            <m:r>
              <w:rPr>
                <w:rFonts w:ascii="Cambria Math" w:hAnsi="Cambria Math"/>
              </w:rPr>
              <m:t>r</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r</m:t>
            </m:r>
            <m:r>
              <m:rPr>
                <m:sty m:val="p"/>
              </m:rPr>
              <w:rPr>
                <w:rFonts w:ascii="Cambria Math" w:hAnsi="Cambria Math"/>
              </w:rPr>
              <m:t>)</m:t>
            </m:r>
          </m:num>
          <m:den>
            <m:r>
              <w:rPr>
                <w:rFonts w:ascii="Cambria Math" w:hAnsi="Cambria Math"/>
              </w:rPr>
              <m:t>ρ</m:t>
            </m:r>
            <m:r>
              <m:rPr>
                <m:sty m:val="p"/>
              </m:rPr>
              <w:rPr>
                <w:rFonts w:ascii="Cambria Math" w:hAnsi="Cambria Math"/>
              </w:rPr>
              <m:t>·4</m:t>
            </m:r>
            <m:r>
              <w:rPr>
                <w:rFonts w:ascii="Cambria Math" w:hAnsi="Cambria Math"/>
              </w:rPr>
              <m:t>πrdr</m:t>
            </m:r>
          </m:den>
        </m:f>
      </m:oMath>
      <w:r>
        <w:tab/>
        <w:t xml:space="preserve">     </w:t>
      </w:r>
      <w:r w:rsidR="003B2430">
        <w:t>(11</w:t>
      </w:r>
      <w:r w:rsidRPr="00DD63C0">
        <w:t>)</w:t>
      </w:r>
    </w:p>
    <w:p w:rsidR="00012E12" w:rsidRDefault="00C632B4" w:rsidP="007D722A">
      <w:r w:rsidRPr="00515117">
        <w:rPr>
          <w:i/>
        </w:rPr>
        <w:t>n(r)</w:t>
      </w:r>
      <w:r w:rsidRPr="00515117">
        <w:t xml:space="preserve"> </w:t>
      </w:r>
      <w:r>
        <w:t>on</w:t>
      </w:r>
      <w:r w:rsidR="00A91581">
        <w:t xml:space="preserve"> teist tüüpi</w:t>
      </w:r>
      <w:r>
        <w:t xml:space="preserve"> </w:t>
      </w:r>
      <w:r w:rsidRPr="00515117">
        <w:t xml:space="preserve">aatomite keskmine arv sfäärilises kihis paksusega </w:t>
      </w:r>
      <w:r w:rsidRPr="00515117">
        <w:rPr>
          <w:i/>
        </w:rPr>
        <w:t>dr</w:t>
      </w:r>
      <w:r w:rsidRPr="00515117">
        <w:t xml:space="preserve"> kaugusel </w:t>
      </w:r>
      <w:r w:rsidRPr="00515117">
        <w:rPr>
          <w:i/>
        </w:rPr>
        <w:t>r</w:t>
      </w:r>
      <w:r w:rsidR="00A91581">
        <w:t xml:space="preserve"> esimest tüüpi aatomitest ning </w:t>
      </w:r>
      <w:r w:rsidRPr="00515117">
        <w:t xml:space="preserve"> </w:t>
      </w:r>
      <w:r w:rsidRPr="00515117">
        <w:rPr>
          <w:i/>
        </w:rPr>
        <w:t>ρ</w:t>
      </w:r>
      <w:r w:rsidRPr="00515117">
        <w:t xml:space="preserve"> on </w:t>
      </w:r>
      <w:r w:rsidR="00A91581">
        <w:t xml:space="preserve">teist tüüpi </w:t>
      </w:r>
      <w:r w:rsidRPr="00515117">
        <w:t>aatomite keskmine tihedus</w:t>
      </w:r>
      <w:r>
        <w:t xml:space="preserve">. </w:t>
      </w:r>
    </w:p>
    <w:p w:rsidR="00C632B4" w:rsidRPr="00C80CFE" w:rsidRDefault="00C632B4" w:rsidP="007D722A">
      <w:pPr>
        <w:rPr>
          <w:rFonts w:ascii="Cambria Math" w:hAnsi="Cambria Math"/>
        </w:rPr>
      </w:pPr>
      <w:r>
        <w:lastRenderedPageBreak/>
        <w:t>RDF väärtus väikestel kaugustel (aatomi</w:t>
      </w:r>
      <w:r w:rsidR="00634C80">
        <w:t>te</w:t>
      </w:r>
      <w:r>
        <w:t xml:space="preserve"> raadiuste summa) on null. RDF</w:t>
      </w:r>
      <w:r w:rsidR="00634C80">
        <w:t>i</w:t>
      </w:r>
      <w:r>
        <w:t xml:space="preserve"> esimese ja tõenäoliselt kõige suurema piigi asukoht annab koordineeritud aatomite vahelise kauguse.</w:t>
      </w:r>
      <w:r w:rsidR="00634C80">
        <w:t xml:space="preserve"> Kovalentse sidemega seotud aatomite korral vastab teine piik valentsnurgale ja kolmas piik dihedraalnurgale.</w:t>
      </w:r>
      <w:r>
        <w:t xml:space="preserve"> Mida kitsam on RDF maksimumi poollaius, seda vähem kaugused vastavate aatomite vahel fluktueeruvad </w:t>
      </w:r>
      <w:sdt>
        <w:sdtPr>
          <w:id w:val="321300"/>
          <w:citation/>
        </w:sdtPr>
        <w:sdtContent>
          <w:fldSimple w:instr=" CITATION AD \l 1061 ">
            <w:r w:rsidR="005B76C8">
              <w:rPr>
                <w:noProof/>
              </w:rPr>
              <w:t>[</w:t>
            </w:r>
            <w:hyperlink w:anchor="AD" w:history="1">
              <w:r w:rsidR="005B76C8" w:rsidRPr="005B76C8">
                <w:rPr>
                  <w:rStyle w:val="Heading2Char"/>
                  <w:rFonts w:eastAsiaTheme="minorHAnsi" w:cstheme="minorBidi"/>
                  <w:noProof/>
                  <w:sz w:val="24"/>
                  <w:szCs w:val="22"/>
                </w:rPr>
                <w:t>36</w:t>
              </w:r>
            </w:hyperlink>
            <w:r w:rsidR="005B76C8">
              <w:rPr>
                <w:noProof/>
              </w:rPr>
              <w:t>]</w:t>
            </w:r>
          </w:fldSimple>
        </w:sdtContent>
      </w:sdt>
      <w:r>
        <w:t>.</w:t>
      </w:r>
    </w:p>
    <w:p w:rsidR="00092E79" w:rsidRDefault="00C632B4" w:rsidP="007D722A">
      <w:r>
        <w:t xml:space="preserve"> </w:t>
      </w:r>
      <w:r w:rsidR="00523E30">
        <w:t xml:space="preserve">Integreerides üle </w:t>
      </w:r>
      <w:r>
        <w:t>RDF</w:t>
      </w:r>
      <w:r w:rsidR="00523E30">
        <w:t xml:space="preserve">i saadakse </w:t>
      </w:r>
      <w:r>
        <w:t>koordinatsiooniarv, mis näitab kahe aatomitüübi vahelist ko</w:t>
      </w:r>
      <w:r w:rsidR="003A501F">
        <w:t>o</w:t>
      </w:r>
      <w:r>
        <w:t>rdineeritust ehk mitme</w:t>
      </w:r>
      <w:r w:rsidR="004D35C4">
        <w:t xml:space="preserve"> teist tüüpi</w:t>
      </w:r>
      <w:r>
        <w:t xml:space="preserve"> aatomiga on </w:t>
      </w:r>
      <w:r w:rsidR="004D35C4">
        <w:t>esimest tüüpi</w:t>
      </w:r>
      <w:r w:rsidR="00DF1AE0">
        <w:t xml:space="preserve"> </w:t>
      </w:r>
      <w:r>
        <w:t xml:space="preserve">aatom seotud. Matemaatiliselt on see keskmine aatomite arv uuritavast aatomist kauguste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vahemikus, kus ρ</w:t>
      </w:r>
      <w:r w:rsidR="002B29E3">
        <w:t xml:space="preserve"> on </w:t>
      </w:r>
      <w:r w:rsidR="003B2430">
        <w:t>aine keskmine tihedus (avaldis 12</w:t>
      </w:r>
      <w:r>
        <w:t xml:space="preserve">) </w:t>
      </w:r>
      <w:sdt>
        <w:sdtPr>
          <w:id w:val="321301"/>
          <w:citation/>
        </w:sdtPr>
        <w:sdtContent>
          <w:fldSimple w:instr=" CITATION AD \l 1061 ">
            <w:r w:rsidR="005B76C8">
              <w:rPr>
                <w:noProof/>
              </w:rPr>
              <w:t>[</w:t>
            </w:r>
            <w:hyperlink w:anchor="AD" w:history="1">
              <w:r w:rsidR="005B76C8" w:rsidRPr="005B76C8">
                <w:rPr>
                  <w:rStyle w:val="Heading2Char"/>
                  <w:rFonts w:eastAsiaTheme="minorHAnsi" w:cstheme="minorBidi"/>
                  <w:noProof/>
                  <w:sz w:val="24"/>
                  <w:szCs w:val="22"/>
                </w:rPr>
                <w:t>36</w:t>
              </w:r>
            </w:hyperlink>
            <w:r w:rsidR="005B76C8">
              <w:rPr>
                <w:noProof/>
              </w:rPr>
              <w:t>]</w:t>
            </w:r>
          </w:fldSimple>
        </w:sdtContent>
      </w:sdt>
      <w:r>
        <w:t>.</w:t>
      </w:r>
    </w:p>
    <w:p w:rsidR="00A16A13" w:rsidRDefault="00C632B4" w:rsidP="00A16A13">
      <w:pPr>
        <w:jc w:val="center"/>
      </w:pPr>
      <m:oMath>
        <m:r>
          <w:rPr>
            <w:rFonts w:ascii="Cambria Math" w:hAnsi="Cambria Math"/>
          </w:rPr>
          <m:t>CN</m:t>
        </m:r>
        <m:r>
          <m:rPr>
            <m:sty m:val="p"/>
          </m:rPr>
          <w:rPr>
            <w:rFonts w:ascii="Cambria Math" w:hAnsi="Cambria Math"/>
          </w:rPr>
          <m:t>=</m:t>
        </m:r>
        <m:r>
          <w:rPr>
            <w:rFonts w:ascii="Cambria Math" w:hAnsi="Cambria Math"/>
          </w:rPr>
          <m:t>ρ</m:t>
        </m:r>
        <m:nary>
          <m:naryPr>
            <m:limLoc m:val="subSup"/>
            <m:ctrlPr>
              <w:rPr>
                <w:rFonts w:ascii="Cambria Math" w:hAnsi="Cambria Math"/>
              </w:rPr>
            </m:ctrlPr>
          </m:naryPr>
          <m:sub>
            <m:r>
              <w:rPr>
                <w:rFonts w:ascii="Cambria Math" w:hAnsi="Cambria Math"/>
              </w:rPr>
              <m:t>r</m:t>
            </m:r>
            <m:r>
              <m:rPr>
                <m:sty m:val="p"/>
              </m:rPr>
              <w:rPr>
                <w:rFonts w:ascii="Cambria Math" w:hAnsi="Cambria Math"/>
                <w:vertAlign w:val="subscript"/>
              </w:rPr>
              <m:t>1</m:t>
            </m:r>
          </m:sub>
          <m:sup>
            <m:r>
              <m:rPr>
                <m:sty m:val="p"/>
              </m:rPr>
              <w:rPr>
                <w:rFonts w:ascii="Cambria Math" w:hAnsi="Cambria Math"/>
              </w:rPr>
              <m:t xml:space="preserve"> </m:t>
            </m:r>
            <m:r>
              <w:rPr>
                <w:rFonts w:ascii="Cambria Math" w:hAnsi="Cambria Math"/>
              </w:rPr>
              <m:t>r</m:t>
            </m:r>
            <m:r>
              <m:rPr>
                <m:sty m:val="p"/>
              </m:rPr>
              <w:rPr>
                <w:rFonts w:ascii="Cambria Math" w:hAnsi="Cambria Math"/>
                <w:vertAlign w:val="subscript"/>
              </w:rPr>
              <m:t>2</m:t>
            </m:r>
          </m:sup>
          <m:e>
            <m:r>
              <w:rPr>
                <w:rFonts w:ascii="Cambria Math" w:hAnsi="Cambria Math"/>
              </w:rPr>
              <m:t>RDF</m:t>
            </m:r>
            <m:r>
              <m:rPr>
                <m:sty m:val="p"/>
              </m:rPr>
              <w:rPr>
                <w:rFonts w:ascii="Cambria Math" w:hAnsi="Cambria Math"/>
              </w:rPr>
              <m:t>(</m:t>
            </m:r>
            <m:r>
              <w:rPr>
                <w:rFonts w:ascii="Cambria Math" w:hAnsi="Cambria Math"/>
              </w:rPr>
              <m:t>r</m:t>
            </m:r>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dr</m:t>
            </m:r>
          </m:e>
        </m:nary>
      </m:oMath>
      <w:r w:rsidR="003B2430">
        <w:tab/>
        <w:t xml:space="preserve">   (12</w:t>
      </w:r>
      <w:r>
        <w:t>)</w:t>
      </w:r>
      <w:bookmarkStart w:id="47" w:name="_Toc231118068"/>
      <w:bookmarkStart w:id="48" w:name="_Toc321348214"/>
    </w:p>
    <w:p w:rsidR="00BB4665" w:rsidRDefault="00BB4665" w:rsidP="00A16A13">
      <w:pPr>
        <w:jc w:val="center"/>
      </w:pPr>
    </w:p>
    <w:p w:rsidR="00C632B4" w:rsidRDefault="00C632B4" w:rsidP="007D722A">
      <w:pPr>
        <w:pStyle w:val="Heading3"/>
      </w:pPr>
      <w:bookmarkStart w:id="49" w:name="_Toc325224178"/>
      <w:r w:rsidRPr="00A5305B">
        <w:t xml:space="preserve">3.2.2.  Ruutkeskmine </w:t>
      </w:r>
      <w:bookmarkEnd w:id="47"/>
      <w:bookmarkEnd w:id="48"/>
      <w:r w:rsidR="00E062BD">
        <w:t>hälve</w:t>
      </w:r>
      <w:bookmarkEnd w:id="49"/>
    </w:p>
    <w:p w:rsidR="00C23A84" w:rsidRDefault="00AB3B17" w:rsidP="00C23A84">
      <w:r>
        <w:t xml:space="preserve">Ruutkeskmine hälve </w:t>
      </w:r>
      <w:r w:rsidR="00C632B4">
        <w:t>(Mean-Square Displacement</w:t>
      </w:r>
      <w:r>
        <w:t>, MSD</w:t>
      </w:r>
      <w:r w:rsidR="00C632B4">
        <w:t>) on suurus, mis iseloomustab keskmist teepikkust, mille osake süste</w:t>
      </w:r>
      <w:r w:rsidR="00E062BD">
        <w:t>emis läbib</w:t>
      </w:r>
      <w:r w:rsidR="00E91ADF">
        <w:t xml:space="preserve"> </w:t>
      </w:r>
      <w:sdt>
        <w:sdtPr>
          <w:id w:val="321302"/>
          <w:citation/>
        </w:sdtPr>
        <w:sdtContent>
          <w:fldSimple w:instr=" CITATION AG \l 1061 ">
            <w:r w:rsidR="005B76C8">
              <w:rPr>
                <w:noProof/>
              </w:rPr>
              <w:t>[</w:t>
            </w:r>
            <w:hyperlink w:anchor="AG" w:history="1">
              <w:r w:rsidR="005B76C8" w:rsidRPr="005B76C8">
                <w:rPr>
                  <w:rStyle w:val="Heading2Char"/>
                  <w:rFonts w:eastAsiaTheme="minorHAnsi" w:cstheme="minorBidi"/>
                  <w:noProof/>
                  <w:sz w:val="24"/>
                  <w:szCs w:val="22"/>
                </w:rPr>
                <w:t>37</w:t>
              </w:r>
            </w:hyperlink>
            <w:r w:rsidR="005B76C8">
              <w:rPr>
                <w:noProof/>
              </w:rPr>
              <w:t>]</w:t>
            </w:r>
          </w:fldSimple>
        </w:sdtContent>
      </w:sdt>
      <w:r w:rsidR="00E062BD">
        <w:t>:</w:t>
      </w:r>
    </w:p>
    <w:p w:rsidR="00C632B4" w:rsidRDefault="00C632B4" w:rsidP="00C23A84">
      <w:pPr>
        <w:jc w:val="center"/>
      </w:pPr>
      <m:oMath>
        <m:r>
          <w:rPr>
            <w:rFonts w:ascii="Cambria Math" w:hAnsi="Cambria Math"/>
          </w:rPr>
          <m:t>MSD</m:t>
        </m:r>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k</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r>
                  <m:rPr>
                    <m:sty m:val="p"/>
                  </m:rPr>
                  <w:rPr>
                    <w:rFonts w:ascii="Cambria Math" w:hAnsi="Cambria Math"/>
                  </w:rPr>
                  <m:t>(0))</m:t>
                </m:r>
              </m:e>
              <m:sup>
                <m:r>
                  <m:rPr>
                    <m:sty m:val="p"/>
                  </m:rPr>
                  <w:rPr>
                    <w:rFonts w:ascii="Cambria Math" w:hAnsi="Cambria Math"/>
                  </w:rPr>
                  <m:t>2</m:t>
                </m:r>
              </m:sup>
            </m:sSup>
          </m:e>
        </m:nary>
      </m:oMath>
      <w:r w:rsidR="002B29E3">
        <w:t xml:space="preserve">      (</w:t>
      </w:r>
      <w:r w:rsidR="003B2430">
        <w:t>13</w:t>
      </w:r>
      <w:r>
        <w:t xml:space="preserve">) </w:t>
      </w:r>
    </w:p>
    <w:p w:rsidR="00C632B4" w:rsidRDefault="00C632B4" w:rsidP="007D722A">
      <w:r w:rsidRPr="00032C68">
        <w:rPr>
          <w:i/>
        </w:rPr>
        <w:t>N</w:t>
      </w:r>
      <w:r>
        <w:t xml:space="preserve"> - osakeste arv; </w:t>
      </w:r>
      <w:r w:rsidRPr="00032C68">
        <w:rPr>
          <w:i/>
        </w:rPr>
        <w:t>(</w:t>
      </w:r>
      <m:oMath>
        <m:sSub>
          <m:sSubPr>
            <m:ctrlPr>
              <w:rPr>
                <w:rFonts w:ascii="Cambria Math" w:hAnsi="Cambria Math"/>
                <w:i/>
              </w:rPr>
            </m:ctrlPr>
          </m:sSubPr>
          <m:e>
            <m:r>
              <w:rPr>
                <w:rFonts w:ascii="Cambria Math" w:hAnsi="Cambria Math"/>
              </w:rPr>
              <m:t>r</m:t>
            </m:r>
          </m:e>
          <m:sub>
            <m:r>
              <w:rPr>
                <w:rFonts w:ascii="Cambria Math" w:hAnsi="Cambria Math"/>
              </w:rPr>
              <m:t>k</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d>
          <m:dPr>
            <m:ctrlPr>
              <w:rPr>
                <w:rFonts w:ascii="Cambria Math" w:hAnsi="Cambria Math"/>
                <w:i/>
              </w:rPr>
            </m:ctrlPr>
          </m:dPr>
          <m:e>
            <m:r>
              <w:rPr>
                <w:rFonts w:ascii="Cambria Math" w:hAnsi="Cambria Math"/>
              </w:rPr>
              <m:t>0</m:t>
            </m:r>
          </m:e>
        </m:d>
        <m:r>
          <w:rPr>
            <w:rFonts w:ascii="Cambria Math" w:hAnsi="Cambria Math"/>
          </w:rPr>
          <m:t>)</m:t>
        </m:r>
      </m:oMath>
      <w:r>
        <w:t xml:space="preserve"> - vektor ehk teepikkus,</w:t>
      </w:r>
      <w:r w:rsidRPr="00C90476">
        <w:t xml:space="preserve"> </w:t>
      </w:r>
      <w:r>
        <w:t xml:space="preserve">mida </w:t>
      </w:r>
      <w:r w:rsidR="00EC6509">
        <w:t xml:space="preserve">üksikaatom </w:t>
      </w:r>
      <w:r w:rsidR="00EC6509">
        <w:rPr>
          <w:i/>
        </w:rPr>
        <w:t>k</w:t>
      </w:r>
      <w:r>
        <w:t xml:space="preserve"> või aatomite grupp on liikunud ajaintervalli </w:t>
      </w:r>
      <w:r w:rsidRPr="00686873">
        <w:rPr>
          <w:i/>
        </w:rPr>
        <w:t>t</w:t>
      </w:r>
      <w:r>
        <w:t xml:space="preserve"> jooksul. MSD on ajas kasvav</w:t>
      </w:r>
      <w:r w:rsidR="00EC6509">
        <w:t xml:space="preserve"> väärtus</w:t>
      </w:r>
      <w:r>
        <w:t xml:space="preserve">. MSD lineaarse osa tõus on seotud osakeste difusioonikoefitsiendiga </w:t>
      </w:r>
      <w:r w:rsidRPr="00032C68">
        <w:rPr>
          <w:i/>
        </w:rPr>
        <w:t>D</w:t>
      </w:r>
      <w:r w:rsidRPr="00C90476">
        <w:t xml:space="preserve"> </w:t>
      </w:r>
      <w:sdt>
        <w:sdtPr>
          <w:id w:val="321303"/>
          <w:citation/>
        </w:sdtPr>
        <w:sdtContent>
          <w:fldSimple w:instr=" CITATION AD \l 1061 ">
            <w:r w:rsidR="005B76C8">
              <w:rPr>
                <w:noProof/>
              </w:rPr>
              <w:t>[</w:t>
            </w:r>
            <w:hyperlink w:anchor="AD" w:history="1">
              <w:r w:rsidR="005B76C8" w:rsidRPr="005B76C8">
                <w:rPr>
                  <w:rStyle w:val="Heading2Char"/>
                  <w:rFonts w:eastAsiaTheme="minorHAnsi" w:cstheme="minorBidi"/>
                  <w:noProof/>
                  <w:sz w:val="24"/>
                  <w:szCs w:val="22"/>
                </w:rPr>
                <w:t>36</w:t>
              </w:r>
            </w:hyperlink>
            <w:r w:rsidR="005B76C8">
              <w:rPr>
                <w:noProof/>
              </w:rPr>
              <w:t>]</w:t>
            </w:r>
          </w:fldSimple>
        </w:sdtContent>
      </w:sdt>
      <w:r>
        <w:t>. Kolmemõõtmelise süsteemi korral on difusioonikoefitsient arvuta</w:t>
      </w:r>
      <w:r w:rsidR="001C5182">
        <w:t>ta</w:t>
      </w:r>
      <w:r>
        <w:t>v järgmiselt</w:t>
      </w:r>
      <w:r w:rsidR="00E91ADF">
        <w:t xml:space="preserve"> </w:t>
      </w:r>
      <w:sdt>
        <w:sdtPr>
          <w:id w:val="321304"/>
          <w:citation/>
        </w:sdtPr>
        <w:sdtContent>
          <w:fldSimple w:instr=" CITATION AG \m b \l 1061  ">
            <w:r w:rsidR="005B76C8">
              <w:rPr>
                <w:noProof/>
              </w:rPr>
              <w:t>[</w:t>
            </w:r>
            <w:hyperlink w:anchor="AG" w:history="1">
              <w:r w:rsidR="005B76C8" w:rsidRPr="005B76C8">
                <w:rPr>
                  <w:rStyle w:val="Heading2Char"/>
                  <w:rFonts w:eastAsiaTheme="minorHAnsi" w:cstheme="minorBidi"/>
                  <w:noProof/>
                  <w:sz w:val="24"/>
                  <w:szCs w:val="22"/>
                </w:rPr>
                <w:t>37</w:t>
              </w:r>
            </w:hyperlink>
            <w:r w:rsidR="005B76C8">
              <w:rPr>
                <w:noProof/>
              </w:rPr>
              <w:t>,</w:t>
            </w:r>
            <w:hyperlink w:anchor="b" w:history="1">
              <w:r w:rsidR="005B76C8" w:rsidRPr="005B76C8">
                <w:rPr>
                  <w:rStyle w:val="Heading2Char"/>
                  <w:rFonts w:eastAsiaTheme="minorHAnsi" w:cstheme="minorBidi"/>
                  <w:noProof/>
                  <w:sz w:val="24"/>
                  <w:szCs w:val="22"/>
                </w:rPr>
                <w:t>38</w:t>
              </w:r>
            </w:hyperlink>
            <w:r w:rsidR="005B76C8">
              <w:rPr>
                <w:noProof/>
              </w:rPr>
              <w:t>]</w:t>
            </w:r>
          </w:fldSimple>
        </w:sdtContent>
      </w:sdt>
      <w:r>
        <w:t>.</w:t>
      </w:r>
    </w:p>
    <w:p w:rsidR="00C632B4" w:rsidRDefault="00B23348" w:rsidP="007D722A">
      <w:pPr>
        <w:jc w:val="center"/>
      </w:pPr>
      <m:oMath>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r>
              <w:rPr>
                <w:rFonts w:ascii="Cambria Math" w:hAnsi="Cambria Math"/>
              </w:rPr>
              <m:t>MSD</m:t>
            </m:r>
            <m:d>
              <m:dPr>
                <m:ctrlPr>
                  <w:rPr>
                    <w:rFonts w:ascii="Cambria Math" w:hAnsi="Cambria Math"/>
                  </w:rPr>
                </m:ctrlPr>
              </m:dPr>
              <m:e>
                <m:r>
                  <w:rPr>
                    <w:rFonts w:ascii="Cambria Math" w:hAnsi="Cambria Math"/>
                  </w:rPr>
                  <m:t>t</m:t>
                </m:r>
              </m:e>
            </m:d>
          </m:e>
        </m:d>
        <m:r>
          <m:rPr>
            <m:sty m:val="p"/>
          </m:rPr>
          <w:rPr>
            <w:rFonts w:ascii="Cambria Math" w:hAnsi="Cambria Math"/>
          </w:rPr>
          <m:t>=6</m:t>
        </m:r>
        <m:r>
          <w:rPr>
            <w:rFonts w:ascii="Cambria Math" w:hAnsi="Cambria Math"/>
          </w:rPr>
          <m:t>D</m:t>
        </m:r>
      </m:oMath>
      <w:r w:rsidR="002B29E3">
        <w:t xml:space="preserve">        (1</w:t>
      </w:r>
      <w:r w:rsidR="003B2430">
        <w:t>4</w:t>
      </w:r>
      <w:r w:rsidR="00C632B4">
        <w:t>)</w:t>
      </w:r>
    </w:p>
    <w:p w:rsidR="00C632B4" w:rsidRDefault="00C632B4" w:rsidP="007D722A">
      <w:r>
        <w:t xml:space="preserve">Difusioonikoefitsiendi </w:t>
      </w:r>
      <w:r w:rsidRPr="00E60C56">
        <w:rPr>
          <w:i/>
        </w:rPr>
        <w:t>D</w:t>
      </w:r>
      <w:r>
        <w:t xml:space="preserve"> ühikuks on </w:t>
      </w:r>
      <w:r w:rsidRPr="00E60C56">
        <w:rPr>
          <w:i/>
        </w:rPr>
        <w:t>m</w:t>
      </w:r>
      <w:r w:rsidRPr="00E60C56">
        <w:rPr>
          <w:i/>
          <w:vertAlign w:val="superscript"/>
        </w:rPr>
        <w:t xml:space="preserve">2 </w:t>
      </w:r>
      <w:r w:rsidRPr="00E60C56">
        <w:rPr>
          <w:i/>
        </w:rPr>
        <w:t xml:space="preserve">s </w:t>
      </w:r>
      <w:r w:rsidRPr="00E60C56">
        <w:rPr>
          <w:i/>
          <w:vertAlign w:val="superscript"/>
        </w:rPr>
        <w:t>-1</w:t>
      </w:r>
      <w:r w:rsidR="007156EF">
        <w:t xml:space="preserve"> ning </w:t>
      </w:r>
      <w:r w:rsidR="002B29E3">
        <w:t>avaldis</w:t>
      </w:r>
      <w:r w:rsidR="009C4AFC">
        <w:t>es</w:t>
      </w:r>
      <w:r w:rsidR="002B29E3">
        <w:t xml:space="preserve"> </w:t>
      </w:r>
      <w:r w:rsidR="009C4AFC">
        <w:t>1</w:t>
      </w:r>
      <w:r w:rsidR="003B2430">
        <w:t>4</w:t>
      </w:r>
      <w:r>
        <w:t xml:space="preserve"> kajastuv 6 tuleb kahekordsest </w:t>
      </w:r>
      <w:r w:rsidR="002B29E3">
        <w:t>ruumi</w:t>
      </w:r>
      <w:r>
        <w:t>dimensioonist</w:t>
      </w:r>
      <w:r w:rsidR="009F16E0">
        <w:t xml:space="preserve"> </w:t>
      </w:r>
      <w:sdt>
        <w:sdtPr>
          <w:id w:val="321305"/>
          <w:citation/>
        </w:sdtPr>
        <w:sdtContent>
          <w:fldSimple w:instr=" CITATION Kar10 \l 1061 ">
            <w:r w:rsidR="005B76C8">
              <w:rPr>
                <w:noProof/>
              </w:rPr>
              <w:t>[</w:t>
            </w:r>
            <w:hyperlink w:anchor="Kar10" w:history="1">
              <w:r w:rsidR="005B76C8" w:rsidRPr="005B76C8">
                <w:rPr>
                  <w:rStyle w:val="Heading2Char"/>
                  <w:rFonts w:eastAsiaTheme="minorHAnsi" w:cstheme="minorBidi"/>
                  <w:noProof/>
                  <w:sz w:val="24"/>
                  <w:szCs w:val="22"/>
                </w:rPr>
                <w:t>39</w:t>
              </w:r>
            </w:hyperlink>
            <w:r w:rsidR="005B76C8">
              <w:rPr>
                <w:noProof/>
              </w:rPr>
              <w:t>]</w:t>
            </w:r>
          </w:fldSimple>
        </w:sdtContent>
      </w:sdt>
      <w:r>
        <w:t>.</w:t>
      </w:r>
    </w:p>
    <w:p w:rsidR="00C632B4" w:rsidRPr="00A5305B" w:rsidRDefault="00C632B4" w:rsidP="00AF1811">
      <w:pPr>
        <w:pStyle w:val="Heading2"/>
        <w:rPr>
          <w:b/>
        </w:rPr>
      </w:pPr>
      <w:bookmarkStart w:id="50" w:name="_Toc231118069"/>
      <w:bookmarkStart w:id="51" w:name="_Toc321348215"/>
      <w:bookmarkStart w:id="52" w:name="_Toc325224179"/>
      <w:r w:rsidRPr="00A5305B">
        <w:t>3.3.  Uuritav süsteem ja selle mudel</w:t>
      </w:r>
      <w:bookmarkEnd w:id="50"/>
      <w:bookmarkEnd w:id="51"/>
      <w:bookmarkEnd w:id="52"/>
    </w:p>
    <w:p w:rsidR="002B29C1" w:rsidRDefault="00C632B4" w:rsidP="007D722A">
      <w:r>
        <w:t xml:space="preserve">Käesolevas töös uurime täpsemalt hetero- ehk kopolümeerist koosneva elektrolüüdi ioonjuhtivaid omadusi. Kopolümeer on </w:t>
      </w:r>
      <w:r w:rsidR="00EE217A">
        <w:t>erineva</w:t>
      </w:r>
      <w:r>
        <w:t xml:space="preserve">t </w:t>
      </w:r>
      <w:r w:rsidR="00EE217A">
        <w:t xml:space="preserve">tüüpi </w:t>
      </w:r>
      <w:r>
        <w:t>monomeeri</w:t>
      </w:r>
      <w:r w:rsidR="00EE217A">
        <w:t>de</w:t>
      </w:r>
      <w:r>
        <w:t xml:space="preserve">st koosnev polümeer, mis oma ülesehituselt </w:t>
      </w:r>
      <w:r w:rsidR="00EE217A">
        <w:t>võib jagune</w:t>
      </w:r>
      <w:r>
        <w:t>d</w:t>
      </w:r>
      <w:r w:rsidR="00EE217A">
        <w:t>a ühte</w:t>
      </w:r>
      <w:r>
        <w:t xml:space="preserve"> </w:t>
      </w:r>
      <w:r w:rsidR="00CD5FE4">
        <w:t>kolmes</w:t>
      </w:r>
      <w:r>
        <w:t xml:space="preserve"> klassi</w:t>
      </w:r>
      <w:r w:rsidR="00EE217A">
        <w:t>st</w:t>
      </w:r>
      <w:sdt>
        <w:sdtPr>
          <w:id w:val="62367672"/>
          <w:citation/>
        </w:sdtPr>
        <w:sdtContent>
          <w:fldSimple w:instr=" CITATION AI \l 1061  ">
            <w:r w:rsidR="005B76C8">
              <w:rPr>
                <w:noProof/>
              </w:rPr>
              <w:t xml:space="preserve"> [</w:t>
            </w:r>
            <w:hyperlink w:anchor="AI" w:history="1">
              <w:r w:rsidR="005B76C8" w:rsidRPr="005B76C8">
                <w:rPr>
                  <w:rStyle w:val="Heading2Char"/>
                  <w:rFonts w:eastAsiaTheme="minorHAnsi" w:cstheme="minorBidi"/>
                  <w:noProof/>
                  <w:sz w:val="24"/>
                  <w:szCs w:val="22"/>
                </w:rPr>
                <w:t>40</w:t>
              </w:r>
            </w:hyperlink>
            <w:r w:rsidR="005B76C8">
              <w:rPr>
                <w:noProof/>
              </w:rPr>
              <w:t>]</w:t>
            </w:r>
          </w:fldSimple>
        </w:sdtContent>
      </w:sdt>
      <w:r>
        <w:t xml:space="preserve">: </w:t>
      </w:r>
    </w:p>
    <w:p w:rsidR="007E1E68" w:rsidRDefault="007E1E68" w:rsidP="007D722A"/>
    <w:p w:rsidR="00CD5FE4" w:rsidRDefault="00C632B4" w:rsidP="002B29C1">
      <w:pPr>
        <w:pStyle w:val="ListParagraph"/>
        <w:numPr>
          <w:ilvl w:val="0"/>
          <w:numId w:val="14"/>
        </w:numPr>
      </w:pPr>
      <w:r>
        <w:lastRenderedPageBreak/>
        <w:t>regulaarselt vahelduvad erinevad monomeerid;</w:t>
      </w:r>
    </w:p>
    <w:p w:rsidR="002B29C1" w:rsidRPr="00674D62" w:rsidRDefault="00CD5FE4" w:rsidP="00CD5FE4">
      <w:pPr>
        <w:pStyle w:val="ListParagraph"/>
        <w:jc w:val="center"/>
        <w:rPr>
          <w:color w:val="404040" w:themeColor="text1" w:themeTint="BF"/>
        </w:rPr>
      </w:pPr>
      <w:r w:rsidRPr="00674D62">
        <w:rPr>
          <w:color w:val="404040" w:themeColor="text1" w:themeTint="BF"/>
        </w:rPr>
        <w:t>-A-B-A-B-A-B-A-B-A-B-</w:t>
      </w:r>
    </w:p>
    <w:p w:rsidR="00CD5FE4" w:rsidRDefault="00C632B4" w:rsidP="002B29C1">
      <w:pPr>
        <w:pStyle w:val="ListParagraph"/>
        <w:numPr>
          <w:ilvl w:val="0"/>
          <w:numId w:val="14"/>
        </w:numPr>
      </w:pPr>
      <w:r>
        <w:t>juhusliku paigutusega erinevatest monomeeridest koosnevad kopolümeerid;</w:t>
      </w:r>
    </w:p>
    <w:p w:rsidR="002B29C1" w:rsidRPr="00674D62" w:rsidRDefault="00CD5FE4" w:rsidP="00CD5FE4">
      <w:pPr>
        <w:pStyle w:val="ListParagraph"/>
        <w:jc w:val="center"/>
        <w:rPr>
          <w:color w:val="404040" w:themeColor="text1" w:themeTint="BF"/>
        </w:rPr>
      </w:pPr>
      <w:r w:rsidRPr="00674D62">
        <w:rPr>
          <w:color w:val="404040" w:themeColor="text1" w:themeTint="BF"/>
        </w:rPr>
        <w:t>-A-A-B-A-B-B-A-A-A-B-</w:t>
      </w:r>
    </w:p>
    <w:p w:rsidR="00CD5FE4" w:rsidRDefault="00C632B4" w:rsidP="002B29C1">
      <w:pPr>
        <w:pStyle w:val="ListParagraph"/>
        <w:numPr>
          <w:ilvl w:val="0"/>
          <w:numId w:val="14"/>
        </w:numPr>
      </w:pPr>
      <w:r>
        <w:t>plokk-kopolümeerid,  kus erinevatest monomeeridest homopolümeerid on omavahel seotud kovalentsete sidemetega</w:t>
      </w:r>
      <w:r w:rsidR="009F16E0">
        <w:t xml:space="preserve"> </w:t>
      </w:r>
      <w:sdt>
        <w:sdtPr>
          <w:id w:val="321312"/>
          <w:citation/>
        </w:sdtPr>
        <w:sdtContent>
          <w:fldSimple w:instr=" CITATION E \m L \m J \m Sri07 \l 1061  ">
            <w:r w:rsidR="005B76C8">
              <w:rPr>
                <w:noProof/>
              </w:rPr>
              <w:t>[</w:t>
            </w:r>
            <w:hyperlink w:anchor="E" w:history="1">
              <w:r w:rsidR="005B76C8" w:rsidRPr="005B76C8">
                <w:rPr>
                  <w:rStyle w:val="Heading2Char"/>
                  <w:rFonts w:eastAsiaTheme="minorHAnsi" w:cstheme="minorBidi"/>
                  <w:noProof/>
                  <w:sz w:val="24"/>
                  <w:szCs w:val="22"/>
                </w:rPr>
                <w:t>30</w:t>
              </w:r>
            </w:hyperlink>
            <w:r w:rsidR="005B76C8">
              <w:rPr>
                <w:noProof/>
              </w:rPr>
              <w:t>,</w:t>
            </w:r>
            <w:hyperlink w:anchor="L" w:history="1">
              <w:r w:rsidR="005B76C8" w:rsidRPr="005B76C8">
                <w:rPr>
                  <w:rStyle w:val="Heading2Char"/>
                  <w:rFonts w:eastAsiaTheme="minorHAnsi" w:cstheme="minorBidi"/>
                  <w:noProof/>
                  <w:sz w:val="24"/>
                  <w:szCs w:val="22"/>
                </w:rPr>
                <w:t>32</w:t>
              </w:r>
            </w:hyperlink>
            <w:r w:rsidR="005B76C8">
              <w:rPr>
                <w:noProof/>
              </w:rPr>
              <w:t>,</w:t>
            </w:r>
            <w:hyperlink w:anchor="J" w:history="1">
              <w:r w:rsidR="005B76C8" w:rsidRPr="005B76C8">
                <w:rPr>
                  <w:rStyle w:val="Heading2Char"/>
                  <w:rFonts w:eastAsiaTheme="minorHAnsi" w:cstheme="minorBidi"/>
                  <w:noProof/>
                  <w:sz w:val="24"/>
                  <w:szCs w:val="22"/>
                </w:rPr>
                <w:t>41</w:t>
              </w:r>
            </w:hyperlink>
            <w:r w:rsidR="005B76C8">
              <w:rPr>
                <w:noProof/>
              </w:rPr>
              <w:t>,</w:t>
            </w:r>
            <w:hyperlink w:anchor="Sri07" w:history="1">
              <w:r w:rsidR="005B76C8" w:rsidRPr="005B76C8">
                <w:rPr>
                  <w:rStyle w:val="Heading2Char"/>
                  <w:rFonts w:eastAsiaTheme="minorHAnsi" w:cstheme="minorBidi"/>
                  <w:noProof/>
                  <w:sz w:val="24"/>
                  <w:szCs w:val="22"/>
                </w:rPr>
                <w:t>42</w:t>
              </w:r>
            </w:hyperlink>
            <w:r w:rsidR="005B76C8">
              <w:rPr>
                <w:noProof/>
              </w:rPr>
              <w:t>]</w:t>
            </w:r>
          </w:fldSimple>
        </w:sdtContent>
      </w:sdt>
      <w:r w:rsidR="00CD5FE4">
        <w:t>;</w:t>
      </w:r>
    </w:p>
    <w:p w:rsidR="002F39AC" w:rsidRDefault="00CD5FE4" w:rsidP="00674D62">
      <w:pPr>
        <w:pStyle w:val="ListParagraph"/>
        <w:jc w:val="center"/>
        <w:rPr>
          <w:color w:val="404040" w:themeColor="text1" w:themeTint="BF"/>
        </w:rPr>
      </w:pPr>
      <w:r w:rsidRPr="000C5550">
        <w:rPr>
          <w:color w:val="404040" w:themeColor="text1" w:themeTint="BF"/>
        </w:rPr>
        <w:t>-A-A-A-A-A-B-B-B-B-B-</w:t>
      </w:r>
    </w:p>
    <w:p w:rsidR="00C23A84" w:rsidRPr="00674D62" w:rsidRDefault="00C632B4" w:rsidP="002F39AC">
      <w:pPr>
        <w:pStyle w:val="ListParagraph"/>
        <w:rPr>
          <w:color w:val="404040" w:themeColor="text1" w:themeTint="BF"/>
        </w:rPr>
      </w:pPr>
      <w:r>
        <w:t>Plokk-kopolümeerid võivad sisaldada ka harusid ehk kõrvalahelaid</w:t>
      </w:r>
      <w:r w:rsidR="001E2072">
        <w:t xml:space="preserve"> </w:t>
      </w:r>
      <w:sdt>
        <w:sdtPr>
          <w:id w:val="321315"/>
          <w:citation/>
        </w:sdtPr>
        <w:sdtContent>
          <w:fldSimple w:instr=" CITATION b \m Kar05 \m Kar09 \l 1061  ">
            <w:r w:rsidR="005B76C8">
              <w:rPr>
                <w:noProof/>
              </w:rPr>
              <w:t>[</w:t>
            </w:r>
            <w:hyperlink w:anchor="b" w:history="1">
              <w:r w:rsidR="005B76C8" w:rsidRPr="005B76C8">
                <w:rPr>
                  <w:rStyle w:val="Heading2Char"/>
                  <w:rFonts w:eastAsiaTheme="minorHAnsi" w:cstheme="minorBidi"/>
                  <w:noProof/>
                  <w:sz w:val="24"/>
                  <w:szCs w:val="22"/>
                </w:rPr>
                <w:t>38</w:t>
              </w:r>
            </w:hyperlink>
            <w:r w:rsidR="005B76C8">
              <w:rPr>
                <w:noProof/>
              </w:rPr>
              <w:t>,</w:t>
            </w:r>
            <w:hyperlink w:anchor="Kar05" w:history="1">
              <w:r w:rsidR="005B76C8" w:rsidRPr="005B76C8">
                <w:rPr>
                  <w:rStyle w:val="Heading2Char"/>
                  <w:rFonts w:eastAsiaTheme="minorHAnsi" w:cstheme="minorBidi"/>
                  <w:noProof/>
                  <w:sz w:val="24"/>
                  <w:szCs w:val="22"/>
                </w:rPr>
                <w:t>43</w:t>
              </w:r>
            </w:hyperlink>
            <w:r w:rsidR="005B76C8">
              <w:rPr>
                <w:noProof/>
              </w:rPr>
              <w:t>,</w:t>
            </w:r>
            <w:hyperlink w:anchor="Kar09" w:history="1">
              <w:r w:rsidR="005B76C8" w:rsidRPr="005B76C8">
                <w:rPr>
                  <w:rStyle w:val="Heading2Char"/>
                  <w:rFonts w:eastAsiaTheme="minorHAnsi" w:cstheme="minorBidi"/>
                  <w:noProof/>
                  <w:sz w:val="24"/>
                  <w:szCs w:val="22"/>
                </w:rPr>
                <w:t>44</w:t>
              </w:r>
            </w:hyperlink>
            <w:r w:rsidR="005B76C8">
              <w:rPr>
                <w:noProof/>
              </w:rPr>
              <w:t>]</w:t>
            </w:r>
          </w:fldSimple>
        </w:sdtContent>
      </w:sdt>
      <w:r w:rsidR="00674D62">
        <w:t>;</w:t>
      </w:r>
    </w:p>
    <w:p w:rsidR="00CD5FE4" w:rsidRDefault="00674D62" w:rsidP="00674D62">
      <w:pPr>
        <w:pStyle w:val="ListParagraph"/>
        <w:jc w:val="center"/>
      </w:pPr>
      <w:r w:rsidRPr="00674D62">
        <w:rPr>
          <w:noProof/>
          <w:color w:val="BFBFBF" w:themeColor="background1" w:themeShade="BF"/>
          <w:lang w:eastAsia="et-EE"/>
        </w:rPr>
        <w:drawing>
          <wp:inline distT="0" distB="0" distL="0" distR="0">
            <wp:extent cx="1642647" cy="889000"/>
            <wp:effectExtent l="19050" t="0" r="0"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1646429" cy="891047"/>
                    </a:xfrm>
                    <a:prstGeom prst="rect">
                      <a:avLst/>
                    </a:prstGeom>
                    <a:noFill/>
                    <a:ln w="9525">
                      <a:noFill/>
                      <a:miter lim="800000"/>
                      <a:headEnd/>
                      <a:tailEnd/>
                    </a:ln>
                  </pic:spPr>
                </pic:pic>
              </a:graphicData>
            </a:graphic>
          </wp:inline>
        </w:drawing>
      </w:r>
    </w:p>
    <w:p w:rsidR="00012E12" w:rsidRDefault="002B29C1" w:rsidP="007D722A">
      <w:r>
        <w:t>Käesolevas</w:t>
      </w:r>
      <w:r w:rsidR="00C632B4">
        <w:t xml:space="preserve"> töös käsitletav polümeer on oma olemuselt erijuht kõrvalahelatega kopolümeerist, mille korral peaahel koosneb ühte tüüpi homopolümeerist ja kõrvalahelad teist tüüpi homopolümeerist. Peaahel moodustub polüetüleenist (PE) ja kõrvalahelad polüet</w:t>
      </w:r>
      <w:r w:rsidR="00045AE8">
        <w:t>üleenoksiidist (PEO) (joonis 5</w:t>
      </w:r>
      <w:r>
        <w:t xml:space="preserve">), mille tutvustused </w:t>
      </w:r>
      <w:r w:rsidR="00C632B4">
        <w:t>on</w:t>
      </w:r>
      <w:r>
        <w:t xml:space="preserve"> vastavalt peatükkides</w:t>
      </w:r>
      <w:r w:rsidR="00C632B4">
        <w:t xml:space="preserve"> 2.3 ja 2.2.</w:t>
      </w:r>
    </w:p>
    <w:p w:rsidR="0073534B" w:rsidRDefault="00783E55" w:rsidP="0073534B">
      <w:pPr>
        <w:spacing w:before="0" w:after="0"/>
        <w:rPr>
          <w:b/>
        </w:rPr>
      </w:pPr>
      <w:r>
        <w:rPr>
          <w:noProof/>
          <w:lang w:eastAsia="et-EE"/>
        </w:rPr>
        <w:drawing>
          <wp:inline distT="0" distB="0" distL="0" distR="0">
            <wp:extent cx="5208558" cy="40324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10956" cy="4034259"/>
                    </a:xfrm>
                    <a:prstGeom prst="rect">
                      <a:avLst/>
                    </a:prstGeom>
                    <a:noFill/>
                    <a:ln w="9525">
                      <a:noFill/>
                      <a:miter lim="800000"/>
                      <a:headEnd/>
                      <a:tailEnd/>
                    </a:ln>
                  </pic:spPr>
                </pic:pic>
              </a:graphicData>
            </a:graphic>
          </wp:inline>
        </w:drawing>
      </w:r>
      <w:r w:rsidR="00C632B4" w:rsidRPr="00D56BE7">
        <w:rPr>
          <w:b/>
        </w:rPr>
        <w:t xml:space="preserve"> </w:t>
      </w:r>
    </w:p>
    <w:p w:rsidR="00C632B4" w:rsidRPr="007E1E68" w:rsidRDefault="00045AE8" w:rsidP="0073534B">
      <w:pPr>
        <w:spacing w:before="0" w:after="0"/>
        <w:rPr>
          <w:b/>
        </w:rPr>
      </w:pPr>
      <w:r>
        <w:rPr>
          <w:b/>
        </w:rPr>
        <w:t>Joonis 5</w:t>
      </w:r>
      <w:r w:rsidR="00C632B4" w:rsidRPr="000B41E1">
        <w:rPr>
          <w:b/>
        </w:rPr>
        <w:t>:</w:t>
      </w:r>
      <w:r w:rsidR="00C632B4">
        <w:t xml:space="preserve"> </w:t>
      </w:r>
      <w:r w:rsidR="00E52966">
        <w:t>Uuritava p</w:t>
      </w:r>
      <w:r w:rsidR="00C632B4">
        <w:t>olümeeri struktuur</w:t>
      </w:r>
      <w:r w:rsidR="00E46AA4">
        <w:t xml:space="preserve"> </w:t>
      </w:r>
      <w:r w:rsidR="00C632B4">
        <w:t>peaahela</w:t>
      </w:r>
      <w:r w:rsidR="00E46AA4">
        <w:t xml:space="preserve"> külge kinnituva</w:t>
      </w:r>
      <w:r w:rsidR="00AB3B17">
        <w:t>te</w:t>
      </w:r>
      <w:r w:rsidR="00E46AA4">
        <w:t xml:space="preserve"> kõrvalahela</w:t>
      </w:r>
      <w:r w:rsidR="00AB3B17">
        <w:t>te</w:t>
      </w:r>
      <w:r w:rsidR="00E46AA4">
        <w:t xml:space="preserve"> ning peaahelat termineerivate metüülrühmadega</w:t>
      </w:r>
      <w:r w:rsidR="00C632B4">
        <w:t xml:space="preserve">. </w:t>
      </w:r>
    </w:p>
    <w:p w:rsidR="004E6706" w:rsidRDefault="00C632B4" w:rsidP="004E6706">
      <w:r>
        <w:lastRenderedPageBreak/>
        <w:t>Kõrvalahel kinnitub kovalentse sidemega iga kuuenda etüleenimonomeeri</w:t>
      </w:r>
      <w:r w:rsidR="00F23870">
        <w:t xml:space="preserve"> lüli</w:t>
      </w:r>
      <w:r>
        <w:t xml:space="preserve"> külge, asendades seal ühe vesiniku etüleenoksiidi hapnikuga. Polüetüleeni peaahel</w:t>
      </w:r>
      <w:r w:rsidR="00E46AA4">
        <w:t xml:space="preserve"> algab ja lõpeb metüülrühmaga, </w:t>
      </w:r>
      <w:r>
        <w:t xml:space="preserve">samuti on kõrvalahel termineeritud metüülrühmaga. </w:t>
      </w:r>
      <w:r w:rsidR="00AB3B17">
        <w:t xml:space="preserve">Polümeeri struktuurvalem on </w:t>
      </w:r>
      <w:r w:rsidR="00045AE8">
        <w:t>joonisel 6</w:t>
      </w:r>
      <w:r w:rsidR="00E46AA4">
        <w:t>.</w:t>
      </w:r>
      <w:r>
        <w:t xml:space="preserve"> </w:t>
      </w:r>
    </w:p>
    <w:p w:rsidR="000E5432" w:rsidRDefault="000E5432" w:rsidP="004E6706">
      <w:pPr>
        <w:rPr>
          <w:rFonts w:cs="Times New Roman"/>
          <w:szCs w:val="24"/>
        </w:rPr>
      </w:pPr>
    </w:p>
    <w:p w:rsidR="004E6706" w:rsidRPr="00F41B71" w:rsidRDefault="00E46AA4" w:rsidP="004E6706">
      <w:pPr>
        <w:spacing w:after="0" w:line="240" w:lineRule="auto"/>
        <w:rPr>
          <w:rFonts w:cs="Times New Roman"/>
          <w:sz w:val="36"/>
          <w:szCs w:val="36"/>
          <w:vertAlign w:val="subscript"/>
          <w:lang w:bidi="he-IL"/>
        </w:rPr>
      </w:pPr>
      <w:r>
        <w:rPr>
          <w:rFonts w:cs="Times New Roman"/>
          <w:sz w:val="36"/>
          <w:szCs w:val="36"/>
          <w:lang w:bidi="he-IL"/>
        </w:rPr>
        <w:t xml:space="preserve">      </w:t>
      </w:r>
      <w:r w:rsidR="004E6706" w:rsidRPr="00F41B71">
        <w:rPr>
          <w:rFonts w:cs="Times New Roman"/>
          <w:sz w:val="36"/>
          <w:szCs w:val="36"/>
          <w:lang w:bidi="he-IL"/>
        </w:rPr>
        <w:t>CH</w:t>
      </w:r>
      <w:r w:rsidR="004E6706" w:rsidRPr="00F41B71">
        <w:rPr>
          <w:rFonts w:cs="Times New Roman"/>
          <w:sz w:val="36"/>
          <w:szCs w:val="36"/>
          <w:vertAlign w:val="subscript"/>
          <w:lang w:bidi="he-IL"/>
        </w:rPr>
        <w:t>3</w:t>
      </w:r>
      <w:r w:rsidR="004E6706" w:rsidRPr="00F41B71">
        <w:rPr>
          <w:rFonts w:cs="Times New Roman"/>
          <w:sz w:val="36"/>
          <w:szCs w:val="36"/>
          <w:lang w:bidi="he-IL"/>
        </w:rPr>
        <w:t xml:space="preserve"> – (CH</w:t>
      </w:r>
      <w:r w:rsidR="004E6706" w:rsidRPr="00F41B71">
        <w:rPr>
          <w:rFonts w:cs="Times New Roman"/>
          <w:sz w:val="36"/>
          <w:szCs w:val="36"/>
          <w:vertAlign w:val="subscript"/>
          <w:lang w:bidi="he-IL"/>
        </w:rPr>
        <w:t>2</w:t>
      </w:r>
      <w:r w:rsidR="004E6706" w:rsidRPr="00F41B71">
        <w:rPr>
          <w:rFonts w:cs="Times New Roman"/>
          <w:sz w:val="36"/>
          <w:szCs w:val="36"/>
          <w:lang w:bidi="he-IL"/>
        </w:rPr>
        <w:t>)</w:t>
      </w:r>
      <w:r w:rsidR="004E6706" w:rsidRPr="00F41B71">
        <w:rPr>
          <w:rFonts w:cs="Times New Roman"/>
          <w:sz w:val="36"/>
          <w:szCs w:val="36"/>
          <w:vertAlign w:val="subscript"/>
          <w:lang w:bidi="he-IL"/>
        </w:rPr>
        <w:t>3</w:t>
      </w:r>
      <w:r w:rsidR="004E6706" w:rsidRPr="00F41B71">
        <w:rPr>
          <w:rFonts w:cs="Times New Roman"/>
          <w:sz w:val="36"/>
          <w:szCs w:val="36"/>
          <w:lang w:bidi="he-IL"/>
        </w:rPr>
        <w:t xml:space="preserve"> – [(CH</w:t>
      </w:r>
      <w:r w:rsidR="004E6706" w:rsidRPr="00F41B71">
        <w:rPr>
          <w:rFonts w:cs="Times New Roman"/>
          <w:sz w:val="36"/>
          <w:szCs w:val="36"/>
          <w:vertAlign w:val="subscript"/>
          <w:lang w:bidi="he-IL"/>
        </w:rPr>
        <w:t>2</w:t>
      </w:r>
      <w:r w:rsidR="004E6706" w:rsidRPr="00F41B71">
        <w:rPr>
          <w:rFonts w:cs="Times New Roman"/>
          <w:sz w:val="36"/>
          <w:szCs w:val="36"/>
          <w:lang w:bidi="he-IL"/>
        </w:rPr>
        <w:t>)</w:t>
      </w:r>
      <w:r w:rsidR="004E6706" w:rsidRPr="00F41B71">
        <w:rPr>
          <w:rFonts w:cs="Times New Roman"/>
          <w:sz w:val="36"/>
          <w:szCs w:val="36"/>
          <w:vertAlign w:val="subscript"/>
          <w:lang w:bidi="he-IL"/>
        </w:rPr>
        <w:t>2</w:t>
      </w:r>
      <w:r w:rsidR="004E6706" w:rsidRPr="00F41B71">
        <w:rPr>
          <w:rFonts w:cs="Times New Roman"/>
          <w:sz w:val="36"/>
          <w:szCs w:val="36"/>
          <w:lang w:bidi="he-IL"/>
        </w:rPr>
        <w:t xml:space="preserve"> – CH – (CH</w:t>
      </w:r>
      <w:r w:rsidR="004E6706" w:rsidRPr="00F41B71">
        <w:rPr>
          <w:rFonts w:cs="Times New Roman"/>
          <w:sz w:val="36"/>
          <w:szCs w:val="36"/>
          <w:vertAlign w:val="subscript"/>
          <w:lang w:bidi="he-IL"/>
        </w:rPr>
        <w:t>2</w:t>
      </w:r>
      <w:r w:rsidR="004E6706" w:rsidRPr="00F41B71">
        <w:rPr>
          <w:rFonts w:cs="Times New Roman"/>
          <w:sz w:val="36"/>
          <w:szCs w:val="36"/>
          <w:lang w:bidi="he-IL"/>
        </w:rPr>
        <w:t>)</w:t>
      </w:r>
      <w:r w:rsidR="004E6706" w:rsidRPr="00F41B71">
        <w:rPr>
          <w:rFonts w:cs="Times New Roman"/>
          <w:sz w:val="36"/>
          <w:szCs w:val="36"/>
          <w:vertAlign w:val="subscript"/>
          <w:lang w:bidi="he-IL"/>
        </w:rPr>
        <w:t>3</w:t>
      </w:r>
      <w:r w:rsidR="004E6706" w:rsidRPr="00F41B71">
        <w:rPr>
          <w:rFonts w:cs="Times New Roman"/>
          <w:sz w:val="36"/>
          <w:szCs w:val="36"/>
          <w:lang w:bidi="he-IL"/>
        </w:rPr>
        <w:t>]</w:t>
      </w:r>
      <w:r w:rsidR="004E6706" w:rsidRPr="00F41B71">
        <w:rPr>
          <w:rFonts w:cs="Times New Roman"/>
          <w:sz w:val="36"/>
          <w:szCs w:val="36"/>
          <w:vertAlign w:val="subscript"/>
          <w:lang w:bidi="he-IL"/>
        </w:rPr>
        <w:t>m</w:t>
      </w:r>
      <w:r w:rsidR="004E6706" w:rsidRPr="00F41B71">
        <w:rPr>
          <w:rFonts w:cs="Times New Roman"/>
          <w:sz w:val="36"/>
          <w:szCs w:val="36"/>
          <w:lang w:bidi="he-IL"/>
        </w:rPr>
        <w:t xml:space="preserve"> – (CH</w:t>
      </w:r>
      <w:r w:rsidR="004E6706" w:rsidRPr="00F41B71">
        <w:rPr>
          <w:rFonts w:cs="Times New Roman"/>
          <w:sz w:val="36"/>
          <w:szCs w:val="36"/>
          <w:vertAlign w:val="subscript"/>
          <w:lang w:bidi="he-IL"/>
        </w:rPr>
        <w:t>2</w:t>
      </w:r>
      <w:r w:rsidR="004E6706" w:rsidRPr="00F41B71">
        <w:rPr>
          <w:rFonts w:cs="Times New Roman"/>
          <w:sz w:val="36"/>
          <w:szCs w:val="36"/>
          <w:lang w:bidi="he-IL"/>
        </w:rPr>
        <w:t>)</w:t>
      </w:r>
      <w:r w:rsidR="004E6706" w:rsidRPr="00F41B71">
        <w:rPr>
          <w:rFonts w:cs="Times New Roman"/>
          <w:sz w:val="36"/>
          <w:szCs w:val="36"/>
          <w:vertAlign w:val="subscript"/>
          <w:lang w:bidi="he-IL"/>
        </w:rPr>
        <w:t>2</w:t>
      </w:r>
      <w:r w:rsidR="004E6706" w:rsidRPr="00F41B71">
        <w:rPr>
          <w:rFonts w:cs="Times New Roman"/>
          <w:sz w:val="36"/>
          <w:szCs w:val="36"/>
          <w:lang w:bidi="he-IL"/>
        </w:rPr>
        <w:t xml:space="preserve"> – CH</w:t>
      </w:r>
      <w:r w:rsidR="004E6706" w:rsidRPr="00F41B71">
        <w:rPr>
          <w:rFonts w:cs="Times New Roman"/>
          <w:sz w:val="36"/>
          <w:szCs w:val="36"/>
          <w:vertAlign w:val="subscript"/>
          <w:lang w:bidi="he-IL"/>
        </w:rPr>
        <w:t>3</w:t>
      </w:r>
    </w:p>
    <w:p w:rsidR="004E6706" w:rsidRPr="00F41B71" w:rsidRDefault="004E6706" w:rsidP="004E6706">
      <w:pPr>
        <w:spacing w:after="0" w:line="240" w:lineRule="auto"/>
        <w:rPr>
          <w:rFonts w:cs="Times New Roman"/>
          <w:sz w:val="36"/>
          <w:szCs w:val="36"/>
        </w:rPr>
      </w:pPr>
      <w:r w:rsidRPr="00F41B71">
        <w:rPr>
          <w:rFonts w:cs="Times New Roman"/>
          <w:sz w:val="36"/>
          <w:szCs w:val="36"/>
          <w:lang w:bidi="he-IL"/>
        </w:rPr>
        <w:t xml:space="preserve">                                       </w:t>
      </w:r>
      <w:r>
        <w:rPr>
          <w:rFonts w:cs="Times New Roman"/>
          <w:sz w:val="36"/>
          <w:szCs w:val="36"/>
          <w:lang w:bidi="he-IL"/>
        </w:rPr>
        <w:t xml:space="preserve">     </w:t>
      </w:r>
      <w:r w:rsidRPr="00F41B71">
        <w:rPr>
          <w:rFonts w:cs="Times New Roman"/>
          <w:sz w:val="36"/>
          <w:szCs w:val="36"/>
          <w:lang w:bidi="he-IL"/>
        </w:rPr>
        <w:t xml:space="preserve">   </w:t>
      </w:r>
      <w:r w:rsidRPr="00F41B71">
        <w:rPr>
          <w:rFonts w:cs="Times New Roman"/>
          <w:sz w:val="36"/>
          <w:szCs w:val="36"/>
          <w:rtl/>
          <w:lang w:bidi="he-IL"/>
        </w:rPr>
        <w:t xml:space="preserve">׀ </w:t>
      </w:r>
      <w:r>
        <w:rPr>
          <w:rFonts w:cs="Times New Roman"/>
          <w:sz w:val="36"/>
          <w:szCs w:val="36"/>
          <w:rtl/>
          <w:lang w:bidi="he-IL"/>
        </w:rPr>
        <w:t xml:space="preserve"> </w:t>
      </w:r>
    </w:p>
    <w:p w:rsidR="004E6706" w:rsidRPr="00F41B71" w:rsidRDefault="004E6706" w:rsidP="004E6706">
      <w:pPr>
        <w:spacing w:after="0" w:line="240" w:lineRule="auto"/>
        <w:rPr>
          <w:rFonts w:cs="Times New Roman"/>
          <w:sz w:val="36"/>
          <w:szCs w:val="36"/>
          <w:vertAlign w:val="subscript"/>
        </w:rPr>
      </w:pPr>
      <w:r w:rsidRPr="00F41B71">
        <w:rPr>
          <w:rFonts w:cs="Times New Roman"/>
          <w:sz w:val="36"/>
          <w:szCs w:val="36"/>
        </w:rPr>
        <w:t xml:space="preserve">                    </w:t>
      </w:r>
      <w:r w:rsidRPr="00F41B71">
        <w:rPr>
          <w:rFonts w:cs="Times New Roman"/>
          <w:sz w:val="36"/>
          <w:szCs w:val="36"/>
        </w:rPr>
        <w:tab/>
        <w:t xml:space="preserve"> </w:t>
      </w:r>
      <w:r w:rsidRPr="00F41B71">
        <w:rPr>
          <w:rFonts w:cs="Times New Roman"/>
          <w:sz w:val="36"/>
          <w:szCs w:val="36"/>
        </w:rPr>
        <w:tab/>
        <w:t xml:space="preserve">      </w:t>
      </w:r>
      <w:r>
        <w:rPr>
          <w:rFonts w:cs="Times New Roman"/>
          <w:sz w:val="36"/>
          <w:szCs w:val="36"/>
        </w:rPr>
        <w:t xml:space="preserve">     </w:t>
      </w:r>
      <w:r w:rsidRPr="00F41B71">
        <w:rPr>
          <w:rFonts w:cs="Times New Roman"/>
          <w:sz w:val="36"/>
          <w:szCs w:val="36"/>
        </w:rPr>
        <w:t xml:space="preserve"> </w:t>
      </w:r>
      <w:r w:rsidR="008A3B45">
        <w:rPr>
          <w:rFonts w:cs="Times New Roman"/>
          <w:sz w:val="36"/>
          <w:szCs w:val="36"/>
        </w:rPr>
        <w:t xml:space="preserve"> </w:t>
      </w:r>
      <w:r w:rsidRPr="00F41B71">
        <w:rPr>
          <w:rFonts w:cs="Times New Roman"/>
          <w:sz w:val="36"/>
          <w:szCs w:val="36"/>
        </w:rPr>
        <w:t xml:space="preserve">   (OC</w:t>
      </w:r>
      <w:r w:rsidRPr="00F41B71">
        <w:rPr>
          <w:rFonts w:cs="Times New Roman"/>
          <w:sz w:val="36"/>
          <w:szCs w:val="36"/>
          <w:vertAlign w:val="subscript"/>
        </w:rPr>
        <w:t>2</w:t>
      </w:r>
      <w:r w:rsidRPr="00F41B71">
        <w:rPr>
          <w:rFonts w:cs="Times New Roman"/>
          <w:sz w:val="36"/>
          <w:szCs w:val="36"/>
        </w:rPr>
        <w:t>H</w:t>
      </w:r>
      <w:r w:rsidRPr="00F41B71">
        <w:rPr>
          <w:rFonts w:cs="Times New Roman"/>
          <w:sz w:val="36"/>
          <w:szCs w:val="36"/>
          <w:vertAlign w:val="subscript"/>
        </w:rPr>
        <w:t>4</w:t>
      </w:r>
      <w:r w:rsidRPr="00F41B71">
        <w:rPr>
          <w:rFonts w:cs="Times New Roman"/>
          <w:sz w:val="36"/>
          <w:szCs w:val="36"/>
        </w:rPr>
        <w:t>)</w:t>
      </w:r>
      <w:r w:rsidRPr="00F41B71">
        <w:rPr>
          <w:rFonts w:cs="Times New Roman"/>
          <w:sz w:val="36"/>
          <w:szCs w:val="36"/>
          <w:vertAlign w:val="subscript"/>
        </w:rPr>
        <w:t>n</w:t>
      </w:r>
    </w:p>
    <w:p w:rsidR="004E6706" w:rsidRPr="00F41B71" w:rsidRDefault="004E6706" w:rsidP="004E6706">
      <w:pPr>
        <w:spacing w:after="0" w:line="240" w:lineRule="auto"/>
        <w:rPr>
          <w:rFonts w:cs="Times New Roman"/>
          <w:sz w:val="36"/>
          <w:szCs w:val="36"/>
        </w:rPr>
      </w:pP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Pr>
          <w:rFonts w:cs="Times New Roman"/>
          <w:sz w:val="36"/>
          <w:szCs w:val="36"/>
          <w:vertAlign w:val="subscript"/>
        </w:rPr>
        <w:t xml:space="preserve">  </w:t>
      </w:r>
      <w:r w:rsidR="008A3B45">
        <w:rPr>
          <w:rFonts w:cs="Times New Roman"/>
          <w:sz w:val="36"/>
          <w:szCs w:val="36"/>
          <w:vertAlign w:val="subscript"/>
        </w:rPr>
        <w:t xml:space="preserve"> </w:t>
      </w:r>
      <w:r>
        <w:rPr>
          <w:rFonts w:cs="Times New Roman"/>
          <w:sz w:val="36"/>
          <w:szCs w:val="36"/>
          <w:vertAlign w:val="subscript"/>
        </w:rPr>
        <w:t xml:space="preserve">      </w:t>
      </w:r>
      <w:r w:rsidRPr="00F41B71">
        <w:rPr>
          <w:rFonts w:cs="Times New Roman"/>
          <w:sz w:val="36"/>
          <w:szCs w:val="36"/>
          <w:vertAlign w:val="subscript"/>
        </w:rPr>
        <w:t xml:space="preserve">   </w:t>
      </w:r>
      <w:r w:rsidRPr="00F41B71">
        <w:rPr>
          <w:rFonts w:cs="Times New Roman"/>
          <w:sz w:val="36"/>
          <w:szCs w:val="36"/>
          <w:rtl/>
          <w:lang w:bidi="he-IL"/>
        </w:rPr>
        <w:t xml:space="preserve">׀  </w:t>
      </w:r>
    </w:p>
    <w:p w:rsidR="004E6706" w:rsidRDefault="004E6706" w:rsidP="004E6706">
      <w:pPr>
        <w:spacing w:after="0" w:line="240" w:lineRule="auto"/>
        <w:rPr>
          <w:rFonts w:cs="Times New Roman"/>
          <w:sz w:val="36"/>
          <w:szCs w:val="36"/>
          <w:rtl/>
          <w:lang w:bidi="he-IL"/>
        </w:rPr>
      </w:pPr>
      <w:r w:rsidRPr="00F41B71">
        <w:rPr>
          <w:rFonts w:cs="Times New Roman"/>
          <w:sz w:val="36"/>
          <w:szCs w:val="36"/>
        </w:rPr>
        <w:t xml:space="preserve">                                       </w:t>
      </w:r>
      <w:r>
        <w:rPr>
          <w:rFonts w:cs="Times New Roman"/>
          <w:sz w:val="36"/>
          <w:szCs w:val="36"/>
        </w:rPr>
        <w:t xml:space="preserve">  </w:t>
      </w:r>
      <w:r w:rsidR="008A3B45">
        <w:rPr>
          <w:rFonts w:cs="Times New Roman"/>
          <w:sz w:val="36"/>
          <w:szCs w:val="36"/>
        </w:rPr>
        <w:t xml:space="preserve"> </w:t>
      </w:r>
      <w:r>
        <w:rPr>
          <w:rFonts w:cs="Times New Roman"/>
          <w:sz w:val="36"/>
          <w:szCs w:val="36"/>
        </w:rPr>
        <w:t xml:space="preserve">   </w:t>
      </w:r>
      <w:r w:rsidRPr="00F41B71">
        <w:rPr>
          <w:rFonts w:cs="Times New Roman"/>
          <w:sz w:val="36"/>
          <w:szCs w:val="36"/>
        </w:rPr>
        <w:t xml:space="preserve"> </w:t>
      </w:r>
      <w:r w:rsidR="008A3B45">
        <w:rPr>
          <w:rFonts w:cs="Times New Roman"/>
          <w:sz w:val="36"/>
          <w:szCs w:val="36"/>
        </w:rPr>
        <w:t xml:space="preserve"> </w:t>
      </w:r>
      <w:r w:rsidRPr="00F41B71">
        <w:rPr>
          <w:rFonts w:cs="Times New Roman"/>
          <w:sz w:val="36"/>
          <w:szCs w:val="36"/>
        </w:rPr>
        <w:t xml:space="preserve">  OC</w:t>
      </w:r>
      <w:r w:rsidRPr="00F41B71">
        <w:rPr>
          <w:rFonts w:cs="Times New Roman"/>
          <w:sz w:val="36"/>
          <w:szCs w:val="36"/>
          <w:vertAlign w:val="subscript"/>
        </w:rPr>
        <w:t>2</w:t>
      </w:r>
      <w:r w:rsidRPr="00F41B71">
        <w:rPr>
          <w:rFonts w:cs="Times New Roman"/>
          <w:sz w:val="36"/>
          <w:szCs w:val="36"/>
        </w:rPr>
        <w:t>H</w:t>
      </w:r>
      <w:r w:rsidRPr="00F41B71">
        <w:rPr>
          <w:rFonts w:cs="Times New Roman"/>
          <w:sz w:val="36"/>
          <w:szCs w:val="36"/>
          <w:vertAlign w:val="subscript"/>
        </w:rPr>
        <w:t>5</w:t>
      </w:r>
      <w:r w:rsidRPr="00F41B71">
        <w:rPr>
          <w:rFonts w:cs="Times New Roman"/>
          <w:sz w:val="36"/>
          <w:szCs w:val="36"/>
          <w:rtl/>
          <w:lang w:bidi="he-IL"/>
        </w:rPr>
        <w:tab/>
        <w:t xml:space="preserve"> </w:t>
      </w:r>
    </w:p>
    <w:p w:rsidR="004E6706" w:rsidRPr="00F41B71" w:rsidRDefault="004E6706" w:rsidP="004E6706">
      <w:pPr>
        <w:spacing w:after="0" w:line="240" w:lineRule="auto"/>
        <w:rPr>
          <w:rFonts w:cs="Times New Roman"/>
          <w:sz w:val="36"/>
          <w:szCs w:val="36"/>
          <w:vertAlign w:val="subscript"/>
        </w:rPr>
      </w:pPr>
    </w:p>
    <w:p w:rsidR="00C632B4" w:rsidRDefault="00045AE8" w:rsidP="007D722A">
      <w:r>
        <w:rPr>
          <w:b/>
        </w:rPr>
        <w:t>Joonis 6</w:t>
      </w:r>
      <w:r w:rsidR="00C632B4" w:rsidRPr="000B41E1">
        <w:rPr>
          <w:b/>
        </w:rPr>
        <w:t>:</w:t>
      </w:r>
      <w:r w:rsidR="00C632B4">
        <w:t xml:space="preserve"> Polümeeri struktuurivalem.</w:t>
      </w:r>
    </w:p>
    <w:p w:rsidR="00C632B4" w:rsidRDefault="00C632B4" w:rsidP="007D722A">
      <w:r>
        <w:t>Kokku</w:t>
      </w:r>
      <w:r w:rsidR="000E5432">
        <w:t xml:space="preserve"> koostati 6 erineva </w:t>
      </w:r>
      <w:r w:rsidR="00EA100E" w:rsidRPr="00EA100E">
        <w:t xml:space="preserve">pikkusega </w:t>
      </w:r>
      <w:r w:rsidR="000E5432">
        <w:t xml:space="preserve">kõrvalahela </w:t>
      </w:r>
      <w:r>
        <w:t xml:space="preserve">süsteemi, mille parameetrid on tabelis 1. Kõrvalahelate pikkused olid </w:t>
      </w:r>
      <w:r w:rsidR="00EA100E">
        <w:t xml:space="preserve">4 PEO </w:t>
      </w:r>
      <w:r>
        <w:t>kuni</w:t>
      </w:r>
      <w:r w:rsidR="0048536D">
        <w:t xml:space="preserve"> </w:t>
      </w:r>
      <w:r w:rsidR="00EA100E">
        <w:t>15 PEO</w:t>
      </w:r>
      <w:r>
        <w:t xml:space="preserve"> monomeeri</w:t>
      </w:r>
      <w:r w:rsidR="00EA100E">
        <w:t xml:space="preserve"> lülini</w:t>
      </w:r>
      <w:r>
        <w:t xml:space="preserve"> ning kõrvalahelate arv varieerus vastavalt 51 ja 148 vahel. </w:t>
      </w:r>
      <w:r w:rsidR="00E16DFA">
        <w:t>Uuritud polümeeri</w:t>
      </w:r>
      <w:r w:rsidR="000E5432">
        <w:t xml:space="preserve"> molekul</w:t>
      </w:r>
      <w:r w:rsidR="000132E0">
        <w:t>aar</w:t>
      </w:r>
      <w:r w:rsidR="000E5432">
        <w:t>massid olid v</w:t>
      </w:r>
      <w:r w:rsidR="00E16DFA">
        <w:t>a</w:t>
      </w:r>
      <w:r w:rsidR="000E5432">
        <w:t>stavalt vahemikus</w:t>
      </w:r>
      <w:r w:rsidR="00164053">
        <w:t xml:space="preserve"> 46230 kuni 47663 </w:t>
      </w:r>
      <w:r w:rsidR="000132E0">
        <w:t>g/mol</w:t>
      </w:r>
      <w:r w:rsidR="00EC22CD">
        <w:t>.</w:t>
      </w:r>
      <w:r w:rsidR="00164053">
        <w:t xml:space="preserve"> </w:t>
      </w:r>
      <w:r w:rsidR="00EC22CD">
        <w:t>L</w:t>
      </w:r>
      <w:r>
        <w:t>isatud LiPF</w:t>
      </w:r>
      <w:r>
        <w:rPr>
          <w:vertAlign w:val="subscript"/>
        </w:rPr>
        <w:t>6</w:t>
      </w:r>
      <w:r w:rsidRPr="00B84722">
        <w:t xml:space="preserve"> </w:t>
      </w:r>
      <w:r w:rsidRPr="00F44CAB">
        <w:t>kontsentratsioon valiti selline, et Li-</w:t>
      </w:r>
      <w:r w:rsidR="0048536D">
        <w:t>ioonide ja kõrvalahelate hapniku aatomite</w:t>
      </w:r>
      <w:r w:rsidRPr="00F44CAB">
        <w:t xml:space="preserve"> suhe oleks 1:12.</w:t>
      </w:r>
      <w:r>
        <w:t xml:space="preserve"> </w:t>
      </w:r>
    </w:p>
    <w:p w:rsidR="004E6706" w:rsidRDefault="004E6706" w:rsidP="007D722A"/>
    <w:tbl>
      <w:tblPr>
        <w:tblStyle w:val="LightGrid1"/>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6"/>
        <w:gridCol w:w="1616"/>
        <w:gridCol w:w="1136"/>
        <w:gridCol w:w="1195"/>
        <w:gridCol w:w="1309"/>
        <w:gridCol w:w="1336"/>
        <w:gridCol w:w="1090"/>
      </w:tblGrid>
      <w:tr w:rsidR="004907A8" w:rsidRPr="00BE2B6A" w:rsidTr="004907A8">
        <w:trPr>
          <w:cnfStyle w:val="100000000000"/>
          <w:jc w:val="center"/>
        </w:trPr>
        <w:tc>
          <w:tcPr>
            <w:cnfStyle w:val="001000000000"/>
            <w:tcW w:w="1606" w:type="dxa"/>
            <w:tcBorders>
              <w:top w:val="single" w:sz="4" w:space="0" w:color="auto"/>
              <w:left w:val="single" w:sz="4" w:space="0" w:color="auto"/>
              <w:bottom w:val="single" w:sz="4" w:space="0" w:color="auto"/>
            </w:tcBorders>
          </w:tcPr>
          <w:p w:rsidR="004907A8" w:rsidRPr="00BE2B6A" w:rsidRDefault="004907A8" w:rsidP="004E6706">
            <w:pPr>
              <w:spacing w:line="240" w:lineRule="auto"/>
              <w:jc w:val="center"/>
              <w:rPr>
                <w:rFonts w:cs="Times New Roman"/>
                <w:sz w:val="28"/>
                <w:szCs w:val="28"/>
              </w:rPr>
            </w:pPr>
            <w:r>
              <w:rPr>
                <w:rFonts w:cs="Times New Roman"/>
                <w:sz w:val="28"/>
                <w:szCs w:val="28"/>
              </w:rPr>
              <w:t>Süsteemi nimetus</w:t>
            </w:r>
          </w:p>
        </w:tc>
        <w:tc>
          <w:tcPr>
            <w:tcW w:w="1616" w:type="dxa"/>
            <w:tcBorders>
              <w:top w:val="single" w:sz="4" w:space="0" w:color="auto"/>
              <w:bottom w:val="single" w:sz="4" w:space="0" w:color="auto"/>
            </w:tcBorders>
          </w:tcPr>
          <w:p w:rsidR="004907A8" w:rsidRPr="00BE2B6A" w:rsidRDefault="004907A8" w:rsidP="00EC22CD">
            <w:pPr>
              <w:spacing w:line="240" w:lineRule="auto"/>
              <w:jc w:val="center"/>
              <w:cnfStyle w:val="100000000000"/>
              <w:rPr>
                <w:rFonts w:cs="Times New Roman"/>
                <w:sz w:val="28"/>
                <w:szCs w:val="28"/>
              </w:rPr>
            </w:pPr>
            <w:r>
              <w:rPr>
                <w:rFonts w:cs="Times New Roman"/>
                <w:sz w:val="28"/>
                <w:szCs w:val="28"/>
              </w:rPr>
              <w:t>Kõravahela pikkus</w:t>
            </w:r>
          </w:p>
        </w:tc>
        <w:tc>
          <w:tcPr>
            <w:tcW w:w="1136" w:type="dxa"/>
            <w:tcBorders>
              <w:top w:val="single" w:sz="4" w:space="0" w:color="auto"/>
              <w:bottom w:val="single" w:sz="4" w:space="0" w:color="auto"/>
            </w:tcBorders>
          </w:tcPr>
          <w:p w:rsidR="004907A8" w:rsidRPr="00BE2B6A" w:rsidRDefault="004907A8" w:rsidP="004E6706">
            <w:pPr>
              <w:spacing w:line="240" w:lineRule="auto"/>
              <w:jc w:val="center"/>
              <w:cnfStyle w:val="100000000000"/>
              <w:rPr>
                <w:rFonts w:cs="Times New Roman"/>
                <w:sz w:val="28"/>
                <w:szCs w:val="28"/>
              </w:rPr>
            </w:pPr>
            <w:r w:rsidRPr="00BE2B6A">
              <w:rPr>
                <w:rFonts w:cs="Times New Roman"/>
                <w:sz w:val="28"/>
                <w:szCs w:val="28"/>
              </w:rPr>
              <w:t>n</w:t>
            </w:r>
          </w:p>
        </w:tc>
        <w:tc>
          <w:tcPr>
            <w:tcW w:w="1195" w:type="dxa"/>
            <w:tcBorders>
              <w:top w:val="single" w:sz="4" w:space="0" w:color="auto"/>
              <w:bottom w:val="single" w:sz="4" w:space="0" w:color="auto"/>
            </w:tcBorders>
          </w:tcPr>
          <w:p w:rsidR="004907A8" w:rsidRPr="00BE2B6A" w:rsidRDefault="004907A8" w:rsidP="004E6706">
            <w:pPr>
              <w:spacing w:line="240" w:lineRule="auto"/>
              <w:jc w:val="center"/>
              <w:cnfStyle w:val="100000000000"/>
              <w:rPr>
                <w:rFonts w:cs="Times New Roman"/>
                <w:sz w:val="28"/>
                <w:szCs w:val="28"/>
              </w:rPr>
            </w:pPr>
            <w:r w:rsidRPr="00BE2B6A">
              <w:rPr>
                <w:rFonts w:cs="Times New Roman"/>
                <w:sz w:val="28"/>
                <w:szCs w:val="28"/>
              </w:rPr>
              <w:t>m</w:t>
            </w:r>
          </w:p>
        </w:tc>
        <w:tc>
          <w:tcPr>
            <w:tcW w:w="1309" w:type="dxa"/>
            <w:tcBorders>
              <w:top w:val="single" w:sz="4" w:space="0" w:color="auto"/>
              <w:bottom w:val="single" w:sz="4" w:space="0" w:color="auto"/>
            </w:tcBorders>
          </w:tcPr>
          <w:p w:rsidR="004907A8" w:rsidRPr="00BE2B6A" w:rsidRDefault="004907A8" w:rsidP="004E6706">
            <w:pPr>
              <w:spacing w:line="240" w:lineRule="auto"/>
              <w:jc w:val="center"/>
              <w:cnfStyle w:val="100000000000"/>
              <w:rPr>
                <w:rFonts w:cs="Times New Roman"/>
                <w:sz w:val="28"/>
                <w:szCs w:val="28"/>
                <w:vertAlign w:val="subscript"/>
              </w:rPr>
            </w:pPr>
            <w:r w:rsidRPr="00BE2B6A">
              <w:rPr>
                <w:rFonts w:cs="Times New Roman"/>
                <w:sz w:val="28"/>
                <w:szCs w:val="28"/>
              </w:rPr>
              <w:t>LiPF</w:t>
            </w:r>
            <w:r w:rsidRPr="00BE2B6A">
              <w:rPr>
                <w:rFonts w:cs="Times New Roman"/>
                <w:sz w:val="28"/>
                <w:szCs w:val="28"/>
                <w:vertAlign w:val="subscript"/>
              </w:rPr>
              <w:t>6</w:t>
            </w:r>
          </w:p>
        </w:tc>
        <w:tc>
          <w:tcPr>
            <w:tcW w:w="1336" w:type="dxa"/>
            <w:tcBorders>
              <w:top w:val="single" w:sz="4" w:space="0" w:color="auto"/>
              <w:bottom w:val="single" w:sz="4" w:space="0" w:color="auto"/>
              <w:right w:val="single" w:sz="4" w:space="0" w:color="auto"/>
            </w:tcBorders>
          </w:tcPr>
          <w:p w:rsidR="004907A8" w:rsidRPr="00BE2B6A" w:rsidRDefault="004907A8" w:rsidP="004E6706">
            <w:pPr>
              <w:spacing w:line="240" w:lineRule="auto"/>
              <w:jc w:val="center"/>
              <w:cnfStyle w:val="100000000000"/>
              <w:rPr>
                <w:rFonts w:cs="Times New Roman"/>
                <w:sz w:val="28"/>
                <w:szCs w:val="28"/>
              </w:rPr>
            </w:pPr>
            <w:r w:rsidRPr="00BE2B6A">
              <w:rPr>
                <w:rFonts w:cs="Times New Roman"/>
                <w:sz w:val="28"/>
                <w:szCs w:val="28"/>
              </w:rPr>
              <w:t>Li:EO</w:t>
            </w:r>
          </w:p>
        </w:tc>
        <w:tc>
          <w:tcPr>
            <w:tcW w:w="1090" w:type="dxa"/>
            <w:tcBorders>
              <w:top w:val="single" w:sz="4" w:space="0" w:color="auto"/>
              <w:bottom w:val="single" w:sz="4" w:space="0" w:color="auto"/>
              <w:right w:val="single" w:sz="4" w:space="0" w:color="auto"/>
            </w:tcBorders>
          </w:tcPr>
          <w:p w:rsidR="004907A8" w:rsidRPr="00BE2B6A" w:rsidRDefault="004907A8" w:rsidP="000132E0">
            <w:pPr>
              <w:spacing w:line="240" w:lineRule="auto"/>
              <w:jc w:val="center"/>
              <w:cnfStyle w:val="100000000000"/>
              <w:rPr>
                <w:rFonts w:cs="Times New Roman"/>
                <w:sz w:val="28"/>
                <w:szCs w:val="28"/>
              </w:rPr>
            </w:pPr>
            <w:r>
              <w:rPr>
                <w:rFonts w:cs="Times New Roman"/>
                <w:sz w:val="28"/>
                <w:szCs w:val="28"/>
              </w:rPr>
              <w:t>M</w:t>
            </w:r>
            <w:r w:rsidR="000132E0">
              <w:rPr>
                <w:rFonts w:cs="Times New Roman"/>
                <w:sz w:val="28"/>
                <w:szCs w:val="28"/>
              </w:rPr>
              <w:t xml:space="preserve"> g/mol</w:t>
            </w:r>
          </w:p>
        </w:tc>
      </w:tr>
      <w:tr w:rsidR="004907A8" w:rsidRPr="00BE2B6A" w:rsidTr="004907A8">
        <w:trPr>
          <w:cnfStyle w:val="000000100000"/>
          <w:jc w:val="center"/>
        </w:trPr>
        <w:tc>
          <w:tcPr>
            <w:cnfStyle w:val="001000000000"/>
            <w:tcW w:w="1606" w:type="dxa"/>
            <w:tcBorders>
              <w:top w:val="single" w:sz="4" w:space="0" w:color="auto"/>
              <w:left w:val="single" w:sz="4" w:space="0" w:color="auto"/>
            </w:tcBorders>
            <w:shd w:val="clear" w:color="auto" w:fill="EEECE1" w:themeFill="background2"/>
          </w:tcPr>
          <w:p w:rsidR="004907A8" w:rsidRPr="00B57C6E" w:rsidRDefault="00E16DFA" w:rsidP="004E6706">
            <w:pPr>
              <w:spacing w:line="240" w:lineRule="auto"/>
              <w:jc w:val="center"/>
              <w:rPr>
                <w:rFonts w:cs="Times New Roman"/>
                <w:sz w:val="28"/>
                <w:szCs w:val="28"/>
              </w:rPr>
            </w:pPr>
            <w:r>
              <w:rPr>
                <w:rFonts w:cs="Times New Roman"/>
                <w:sz w:val="28"/>
                <w:szCs w:val="28"/>
              </w:rPr>
              <w:t>4</w:t>
            </w:r>
            <w:r w:rsidR="004907A8" w:rsidRPr="00B57C6E">
              <w:rPr>
                <w:rFonts w:cs="Times New Roman"/>
                <w:sz w:val="28"/>
                <w:szCs w:val="28"/>
              </w:rPr>
              <w:t>EO</w:t>
            </w:r>
          </w:p>
        </w:tc>
        <w:tc>
          <w:tcPr>
            <w:tcW w:w="1616" w:type="dxa"/>
            <w:tcBorders>
              <w:top w:val="single" w:sz="4" w:space="0" w:color="auto"/>
            </w:tcBorders>
            <w:shd w:val="clear" w:color="auto" w:fill="EEECE1" w:themeFill="background2"/>
          </w:tcPr>
          <w:p w:rsidR="004907A8" w:rsidRPr="00BE2B6A" w:rsidRDefault="00E16DFA" w:rsidP="00E16DFA">
            <w:pPr>
              <w:spacing w:line="240" w:lineRule="auto"/>
              <w:jc w:val="center"/>
              <w:cnfStyle w:val="000000100000"/>
              <w:rPr>
                <w:rFonts w:cs="Times New Roman"/>
                <w:sz w:val="28"/>
                <w:szCs w:val="28"/>
              </w:rPr>
            </w:pPr>
            <w:r>
              <w:rPr>
                <w:rFonts w:cs="Times New Roman"/>
                <w:sz w:val="28"/>
                <w:szCs w:val="28"/>
              </w:rPr>
              <w:t>4</w:t>
            </w:r>
            <w:r w:rsidR="004907A8">
              <w:rPr>
                <w:rFonts w:cs="Times New Roman"/>
                <w:sz w:val="28"/>
                <w:szCs w:val="28"/>
              </w:rPr>
              <w:t xml:space="preserve"> EO</w:t>
            </w:r>
          </w:p>
        </w:tc>
        <w:tc>
          <w:tcPr>
            <w:tcW w:w="1136" w:type="dxa"/>
            <w:tcBorders>
              <w:top w:val="single" w:sz="4" w:space="0" w:color="auto"/>
            </w:tcBorders>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3</w:t>
            </w:r>
          </w:p>
        </w:tc>
        <w:tc>
          <w:tcPr>
            <w:tcW w:w="1195" w:type="dxa"/>
            <w:tcBorders>
              <w:top w:val="single" w:sz="4" w:space="0" w:color="auto"/>
            </w:tcBorders>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148</w:t>
            </w:r>
          </w:p>
        </w:tc>
        <w:tc>
          <w:tcPr>
            <w:tcW w:w="1309" w:type="dxa"/>
            <w:tcBorders>
              <w:top w:val="single" w:sz="4" w:space="0" w:color="auto"/>
            </w:tcBorders>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50</w:t>
            </w:r>
          </w:p>
        </w:tc>
        <w:tc>
          <w:tcPr>
            <w:tcW w:w="1336" w:type="dxa"/>
            <w:tcBorders>
              <w:top w:val="single" w:sz="4" w:space="0" w:color="auto"/>
              <w:right w:val="single" w:sz="4" w:space="0" w:color="auto"/>
            </w:tcBorders>
            <w:shd w:val="clear" w:color="auto" w:fill="EEECE1" w:themeFill="background2"/>
          </w:tcPr>
          <w:p w:rsidR="004907A8" w:rsidRPr="00BE2B6A" w:rsidRDefault="004907A8" w:rsidP="004E6706">
            <w:pPr>
              <w:spacing w:line="240" w:lineRule="auto"/>
              <w:jc w:val="center"/>
              <w:cnfStyle w:val="000000100000"/>
              <w:rPr>
                <w:rFonts w:cs="Times New Roman"/>
                <w:sz w:val="28"/>
                <w:szCs w:val="28"/>
              </w:rPr>
            </w:pPr>
            <w:r w:rsidRPr="00BE2B6A">
              <w:rPr>
                <w:rFonts w:cs="Times New Roman"/>
                <w:sz w:val="28"/>
                <w:szCs w:val="28"/>
              </w:rPr>
              <w:t>1:12</w:t>
            </w:r>
          </w:p>
        </w:tc>
        <w:tc>
          <w:tcPr>
            <w:tcW w:w="1090" w:type="dxa"/>
            <w:tcBorders>
              <w:top w:val="single" w:sz="4" w:space="0" w:color="auto"/>
              <w:right w:val="single" w:sz="4" w:space="0" w:color="auto"/>
            </w:tcBorders>
            <w:shd w:val="clear" w:color="auto" w:fill="EEECE1" w:themeFill="background2"/>
          </w:tcPr>
          <w:p w:rsidR="004907A8" w:rsidRPr="00BE2B6A" w:rsidRDefault="00F814F5" w:rsidP="004E6706">
            <w:pPr>
              <w:spacing w:line="240" w:lineRule="auto"/>
              <w:jc w:val="center"/>
              <w:cnfStyle w:val="000000100000"/>
              <w:rPr>
                <w:rFonts w:cs="Times New Roman"/>
                <w:sz w:val="28"/>
                <w:szCs w:val="28"/>
              </w:rPr>
            </w:pPr>
            <w:r>
              <w:rPr>
                <w:rFonts w:cs="Times New Roman"/>
                <w:sz w:val="28"/>
                <w:szCs w:val="28"/>
              </w:rPr>
              <w:t>47663</w:t>
            </w:r>
          </w:p>
        </w:tc>
      </w:tr>
      <w:tr w:rsidR="004907A8" w:rsidRPr="00BE2B6A" w:rsidTr="004907A8">
        <w:trPr>
          <w:cnfStyle w:val="000000010000"/>
          <w:jc w:val="center"/>
        </w:trPr>
        <w:tc>
          <w:tcPr>
            <w:cnfStyle w:val="001000000000"/>
            <w:tcW w:w="1606" w:type="dxa"/>
            <w:tcBorders>
              <w:left w:val="single" w:sz="4" w:space="0" w:color="auto"/>
            </w:tcBorders>
          </w:tcPr>
          <w:p w:rsidR="004907A8" w:rsidRPr="00B57C6E" w:rsidRDefault="00E16DFA" w:rsidP="004E6706">
            <w:pPr>
              <w:spacing w:line="240" w:lineRule="auto"/>
              <w:jc w:val="center"/>
              <w:rPr>
                <w:rFonts w:cs="Times New Roman"/>
                <w:sz w:val="28"/>
                <w:szCs w:val="28"/>
              </w:rPr>
            </w:pPr>
            <w:r>
              <w:rPr>
                <w:rFonts w:cs="Times New Roman"/>
                <w:sz w:val="28"/>
                <w:szCs w:val="28"/>
              </w:rPr>
              <w:t>6</w:t>
            </w:r>
            <w:r w:rsidR="004907A8" w:rsidRPr="00B57C6E">
              <w:rPr>
                <w:rFonts w:cs="Times New Roman"/>
                <w:sz w:val="28"/>
                <w:szCs w:val="28"/>
              </w:rPr>
              <w:t>EO</w:t>
            </w:r>
          </w:p>
        </w:tc>
        <w:tc>
          <w:tcPr>
            <w:tcW w:w="1616" w:type="dxa"/>
          </w:tcPr>
          <w:p w:rsidR="004907A8" w:rsidRPr="00BE2B6A" w:rsidRDefault="00E16DFA" w:rsidP="00E16DFA">
            <w:pPr>
              <w:spacing w:line="240" w:lineRule="auto"/>
              <w:jc w:val="center"/>
              <w:cnfStyle w:val="000000010000"/>
              <w:rPr>
                <w:rFonts w:cs="Times New Roman"/>
                <w:sz w:val="28"/>
                <w:szCs w:val="28"/>
              </w:rPr>
            </w:pPr>
            <w:r>
              <w:rPr>
                <w:rFonts w:cs="Times New Roman"/>
                <w:sz w:val="28"/>
                <w:szCs w:val="28"/>
              </w:rPr>
              <w:t>6</w:t>
            </w:r>
            <w:r w:rsidR="004907A8">
              <w:rPr>
                <w:rFonts w:cs="Times New Roman"/>
                <w:sz w:val="28"/>
                <w:szCs w:val="28"/>
              </w:rPr>
              <w:t xml:space="preserve"> EO</w:t>
            </w:r>
          </w:p>
        </w:tc>
        <w:tc>
          <w:tcPr>
            <w:tcW w:w="1136" w:type="dxa"/>
          </w:tcPr>
          <w:p w:rsidR="004907A8" w:rsidRPr="00BE2B6A" w:rsidRDefault="00E16DFA" w:rsidP="00E16DFA">
            <w:pPr>
              <w:spacing w:line="240" w:lineRule="auto"/>
              <w:jc w:val="center"/>
              <w:cnfStyle w:val="000000010000"/>
              <w:rPr>
                <w:rFonts w:cs="Times New Roman"/>
                <w:sz w:val="28"/>
                <w:szCs w:val="28"/>
              </w:rPr>
            </w:pPr>
            <w:r>
              <w:rPr>
                <w:rFonts w:cs="Times New Roman"/>
                <w:sz w:val="28"/>
                <w:szCs w:val="28"/>
              </w:rPr>
              <w:t>5</w:t>
            </w:r>
          </w:p>
        </w:tc>
        <w:tc>
          <w:tcPr>
            <w:tcW w:w="1195" w:type="dxa"/>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110</w:t>
            </w:r>
          </w:p>
        </w:tc>
        <w:tc>
          <w:tcPr>
            <w:tcW w:w="1309" w:type="dxa"/>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55</w:t>
            </w:r>
          </w:p>
        </w:tc>
        <w:tc>
          <w:tcPr>
            <w:tcW w:w="1336" w:type="dxa"/>
            <w:tcBorders>
              <w:right w:val="single" w:sz="4" w:space="0" w:color="auto"/>
            </w:tcBorders>
          </w:tcPr>
          <w:p w:rsidR="004907A8" w:rsidRPr="00BE2B6A" w:rsidRDefault="004907A8" w:rsidP="004E6706">
            <w:pPr>
              <w:spacing w:line="240" w:lineRule="auto"/>
              <w:jc w:val="center"/>
              <w:cnfStyle w:val="000000010000"/>
              <w:rPr>
                <w:rFonts w:cs="Times New Roman"/>
                <w:sz w:val="28"/>
                <w:szCs w:val="28"/>
              </w:rPr>
            </w:pPr>
            <w:r w:rsidRPr="00BE2B6A">
              <w:rPr>
                <w:rFonts w:cs="Times New Roman"/>
                <w:sz w:val="28"/>
                <w:szCs w:val="28"/>
              </w:rPr>
              <w:t>1:12</w:t>
            </w:r>
          </w:p>
        </w:tc>
        <w:tc>
          <w:tcPr>
            <w:tcW w:w="1090" w:type="dxa"/>
            <w:tcBorders>
              <w:right w:val="single" w:sz="4" w:space="0" w:color="auto"/>
            </w:tcBorders>
          </w:tcPr>
          <w:p w:rsidR="004907A8" w:rsidRPr="00BE2B6A" w:rsidRDefault="00F814F5" w:rsidP="004E6706">
            <w:pPr>
              <w:spacing w:line="240" w:lineRule="auto"/>
              <w:jc w:val="center"/>
              <w:cnfStyle w:val="000000010000"/>
              <w:rPr>
                <w:rFonts w:cs="Times New Roman"/>
                <w:sz w:val="28"/>
                <w:szCs w:val="28"/>
              </w:rPr>
            </w:pPr>
            <w:r>
              <w:rPr>
                <w:rFonts w:cs="Times New Roman"/>
                <w:sz w:val="28"/>
                <w:szCs w:val="28"/>
              </w:rPr>
              <w:t>47511</w:t>
            </w:r>
          </w:p>
        </w:tc>
      </w:tr>
      <w:tr w:rsidR="004907A8" w:rsidRPr="00BE2B6A" w:rsidTr="004907A8">
        <w:trPr>
          <w:cnfStyle w:val="000000100000"/>
          <w:jc w:val="center"/>
        </w:trPr>
        <w:tc>
          <w:tcPr>
            <w:cnfStyle w:val="001000000000"/>
            <w:tcW w:w="1606" w:type="dxa"/>
            <w:tcBorders>
              <w:left w:val="single" w:sz="4" w:space="0" w:color="auto"/>
            </w:tcBorders>
            <w:shd w:val="clear" w:color="auto" w:fill="EEECE1" w:themeFill="background2"/>
          </w:tcPr>
          <w:p w:rsidR="004907A8" w:rsidRPr="00B57C6E" w:rsidRDefault="00E16DFA" w:rsidP="00E16DFA">
            <w:pPr>
              <w:spacing w:line="240" w:lineRule="auto"/>
              <w:jc w:val="center"/>
              <w:rPr>
                <w:rFonts w:cs="Times New Roman"/>
                <w:sz w:val="28"/>
                <w:szCs w:val="28"/>
              </w:rPr>
            </w:pPr>
            <w:r>
              <w:rPr>
                <w:rFonts w:cs="Times New Roman"/>
                <w:sz w:val="28"/>
                <w:szCs w:val="28"/>
              </w:rPr>
              <w:t>8</w:t>
            </w:r>
            <w:r w:rsidR="004907A8" w:rsidRPr="00B57C6E">
              <w:rPr>
                <w:rFonts w:cs="Times New Roman"/>
                <w:sz w:val="28"/>
                <w:szCs w:val="28"/>
              </w:rPr>
              <w:t>EO</w:t>
            </w:r>
          </w:p>
        </w:tc>
        <w:tc>
          <w:tcPr>
            <w:tcW w:w="1616" w:type="dxa"/>
            <w:shd w:val="clear" w:color="auto" w:fill="EEECE1" w:themeFill="background2"/>
          </w:tcPr>
          <w:p w:rsidR="004907A8" w:rsidRPr="00BE2B6A" w:rsidRDefault="00E16DFA" w:rsidP="00201227">
            <w:pPr>
              <w:spacing w:line="240" w:lineRule="auto"/>
              <w:jc w:val="center"/>
              <w:cnfStyle w:val="000000100000"/>
              <w:rPr>
                <w:rFonts w:cs="Times New Roman"/>
                <w:sz w:val="28"/>
                <w:szCs w:val="28"/>
              </w:rPr>
            </w:pPr>
            <w:r>
              <w:rPr>
                <w:rFonts w:cs="Times New Roman"/>
                <w:sz w:val="28"/>
                <w:szCs w:val="28"/>
              </w:rPr>
              <w:t>8</w:t>
            </w:r>
            <w:r w:rsidR="004907A8">
              <w:rPr>
                <w:rFonts w:cs="Times New Roman"/>
                <w:sz w:val="28"/>
                <w:szCs w:val="28"/>
              </w:rPr>
              <w:t xml:space="preserve"> EO</w:t>
            </w:r>
          </w:p>
        </w:tc>
        <w:tc>
          <w:tcPr>
            <w:tcW w:w="1136" w:type="dxa"/>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7</w:t>
            </w:r>
          </w:p>
        </w:tc>
        <w:tc>
          <w:tcPr>
            <w:tcW w:w="1195" w:type="dxa"/>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88</w:t>
            </w:r>
          </w:p>
        </w:tc>
        <w:tc>
          <w:tcPr>
            <w:tcW w:w="1309" w:type="dxa"/>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58</w:t>
            </w:r>
          </w:p>
        </w:tc>
        <w:tc>
          <w:tcPr>
            <w:tcW w:w="1336" w:type="dxa"/>
            <w:tcBorders>
              <w:right w:val="single" w:sz="4" w:space="0" w:color="auto"/>
            </w:tcBorders>
            <w:shd w:val="clear" w:color="auto" w:fill="EEECE1" w:themeFill="background2"/>
          </w:tcPr>
          <w:p w:rsidR="004907A8" w:rsidRPr="00BE2B6A" w:rsidRDefault="004907A8" w:rsidP="004E6706">
            <w:pPr>
              <w:spacing w:line="240" w:lineRule="auto"/>
              <w:jc w:val="center"/>
              <w:cnfStyle w:val="000000100000"/>
              <w:rPr>
                <w:rFonts w:cs="Times New Roman"/>
                <w:sz w:val="28"/>
                <w:szCs w:val="28"/>
              </w:rPr>
            </w:pPr>
            <w:r w:rsidRPr="00BE2B6A">
              <w:rPr>
                <w:rFonts w:cs="Times New Roman"/>
                <w:sz w:val="28"/>
                <w:szCs w:val="28"/>
              </w:rPr>
              <w:t>1:12</w:t>
            </w:r>
          </w:p>
        </w:tc>
        <w:tc>
          <w:tcPr>
            <w:tcW w:w="1090" w:type="dxa"/>
            <w:tcBorders>
              <w:right w:val="single" w:sz="4" w:space="0" w:color="auto"/>
            </w:tcBorders>
            <w:shd w:val="clear" w:color="auto" w:fill="EEECE1" w:themeFill="background2"/>
          </w:tcPr>
          <w:p w:rsidR="004907A8" w:rsidRPr="00BE2B6A" w:rsidRDefault="00F814F5" w:rsidP="0066411E">
            <w:pPr>
              <w:spacing w:line="240" w:lineRule="auto"/>
              <w:jc w:val="center"/>
              <w:cnfStyle w:val="000000100000"/>
              <w:rPr>
                <w:rFonts w:cs="Times New Roman"/>
                <w:sz w:val="28"/>
                <w:szCs w:val="28"/>
              </w:rPr>
            </w:pPr>
            <w:r>
              <w:rPr>
                <w:rFonts w:cs="Times New Roman"/>
                <w:sz w:val="28"/>
                <w:szCs w:val="28"/>
              </w:rPr>
              <w:t>4751</w:t>
            </w:r>
            <w:r w:rsidR="0066411E">
              <w:rPr>
                <w:rFonts w:cs="Times New Roman"/>
                <w:sz w:val="28"/>
                <w:szCs w:val="28"/>
              </w:rPr>
              <w:t>7</w:t>
            </w:r>
          </w:p>
        </w:tc>
      </w:tr>
      <w:tr w:rsidR="004907A8" w:rsidRPr="00BE2B6A" w:rsidTr="004907A8">
        <w:trPr>
          <w:cnfStyle w:val="000000010000"/>
          <w:jc w:val="center"/>
        </w:trPr>
        <w:tc>
          <w:tcPr>
            <w:cnfStyle w:val="001000000000"/>
            <w:tcW w:w="1606" w:type="dxa"/>
            <w:tcBorders>
              <w:left w:val="single" w:sz="4" w:space="0" w:color="auto"/>
            </w:tcBorders>
          </w:tcPr>
          <w:p w:rsidR="004907A8" w:rsidRPr="00B57C6E" w:rsidRDefault="00E16DFA" w:rsidP="004E6706">
            <w:pPr>
              <w:spacing w:line="240" w:lineRule="auto"/>
              <w:jc w:val="center"/>
              <w:rPr>
                <w:rFonts w:cs="Times New Roman"/>
                <w:sz w:val="28"/>
                <w:szCs w:val="28"/>
              </w:rPr>
            </w:pPr>
            <w:r>
              <w:rPr>
                <w:rFonts w:cs="Times New Roman"/>
                <w:sz w:val="28"/>
                <w:szCs w:val="28"/>
              </w:rPr>
              <w:t>10</w:t>
            </w:r>
            <w:r w:rsidR="004907A8" w:rsidRPr="00B57C6E">
              <w:rPr>
                <w:rFonts w:cs="Times New Roman"/>
                <w:sz w:val="28"/>
                <w:szCs w:val="28"/>
              </w:rPr>
              <w:t>EO</w:t>
            </w:r>
          </w:p>
        </w:tc>
        <w:tc>
          <w:tcPr>
            <w:tcW w:w="1616" w:type="dxa"/>
          </w:tcPr>
          <w:p w:rsidR="004907A8" w:rsidRPr="00BE2B6A" w:rsidRDefault="00E16DFA" w:rsidP="00201227">
            <w:pPr>
              <w:spacing w:line="240" w:lineRule="auto"/>
              <w:jc w:val="center"/>
              <w:cnfStyle w:val="000000010000"/>
              <w:rPr>
                <w:rFonts w:cs="Times New Roman"/>
                <w:sz w:val="28"/>
                <w:szCs w:val="28"/>
              </w:rPr>
            </w:pPr>
            <w:r>
              <w:rPr>
                <w:rFonts w:cs="Times New Roman"/>
                <w:sz w:val="28"/>
                <w:szCs w:val="28"/>
              </w:rPr>
              <w:t>10</w:t>
            </w:r>
            <w:r w:rsidR="004907A8">
              <w:rPr>
                <w:rFonts w:cs="Times New Roman"/>
                <w:sz w:val="28"/>
                <w:szCs w:val="28"/>
              </w:rPr>
              <w:t xml:space="preserve"> EO</w:t>
            </w:r>
          </w:p>
        </w:tc>
        <w:tc>
          <w:tcPr>
            <w:tcW w:w="1136" w:type="dxa"/>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9</w:t>
            </w:r>
          </w:p>
        </w:tc>
        <w:tc>
          <w:tcPr>
            <w:tcW w:w="1195" w:type="dxa"/>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73</w:t>
            </w:r>
          </w:p>
        </w:tc>
        <w:tc>
          <w:tcPr>
            <w:tcW w:w="1309" w:type="dxa"/>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60</w:t>
            </w:r>
          </w:p>
        </w:tc>
        <w:tc>
          <w:tcPr>
            <w:tcW w:w="1336" w:type="dxa"/>
            <w:tcBorders>
              <w:right w:val="single" w:sz="4" w:space="0" w:color="auto"/>
            </w:tcBorders>
          </w:tcPr>
          <w:p w:rsidR="004907A8" w:rsidRPr="00BE2B6A" w:rsidRDefault="004907A8" w:rsidP="004E6706">
            <w:pPr>
              <w:spacing w:line="240" w:lineRule="auto"/>
              <w:jc w:val="center"/>
              <w:cnfStyle w:val="000000010000"/>
              <w:rPr>
                <w:rFonts w:cs="Times New Roman"/>
                <w:sz w:val="28"/>
                <w:szCs w:val="28"/>
              </w:rPr>
            </w:pPr>
            <w:r w:rsidRPr="00BE2B6A">
              <w:rPr>
                <w:rFonts w:cs="Times New Roman"/>
                <w:sz w:val="28"/>
                <w:szCs w:val="28"/>
              </w:rPr>
              <w:t>1:12</w:t>
            </w:r>
          </w:p>
        </w:tc>
        <w:tc>
          <w:tcPr>
            <w:tcW w:w="1090" w:type="dxa"/>
            <w:tcBorders>
              <w:right w:val="single" w:sz="4" w:space="0" w:color="auto"/>
            </w:tcBorders>
          </w:tcPr>
          <w:p w:rsidR="004907A8" w:rsidRPr="00BE2B6A" w:rsidRDefault="00F814F5" w:rsidP="004E6706">
            <w:pPr>
              <w:spacing w:line="240" w:lineRule="auto"/>
              <w:jc w:val="center"/>
              <w:cnfStyle w:val="000000010000"/>
              <w:rPr>
                <w:rFonts w:cs="Times New Roman"/>
                <w:sz w:val="28"/>
                <w:szCs w:val="28"/>
              </w:rPr>
            </w:pPr>
            <w:r>
              <w:rPr>
                <w:rFonts w:cs="Times New Roman"/>
                <w:sz w:val="28"/>
                <w:szCs w:val="28"/>
              </w:rPr>
              <w:t>47330</w:t>
            </w:r>
          </w:p>
        </w:tc>
      </w:tr>
      <w:tr w:rsidR="004907A8" w:rsidRPr="00BE2B6A" w:rsidTr="004907A8">
        <w:trPr>
          <w:cnfStyle w:val="000000100000"/>
          <w:jc w:val="center"/>
        </w:trPr>
        <w:tc>
          <w:tcPr>
            <w:cnfStyle w:val="001000000000"/>
            <w:tcW w:w="1606" w:type="dxa"/>
            <w:tcBorders>
              <w:left w:val="single" w:sz="4" w:space="0" w:color="auto"/>
            </w:tcBorders>
            <w:shd w:val="clear" w:color="auto" w:fill="EEECE1" w:themeFill="background2"/>
          </w:tcPr>
          <w:p w:rsidR="004907A8" w:rsidRPr="00B57C6E" w:rsidRDefault="00E16DFA" w:rsidP="00E16DFA">
            <w:pPr>
              <w:spacing w:line="240" w:lineRule="auto"/>
              <w:jc w:val="center"/>
              <w:rPr>
                <w:rFonts w:cs="Times New Roman"/>
                <w:sz w:val="28"/>
                <w:szCs w:val="28"/>
              </w:rPr>
            </w:pPr>
            <w:r>
              <w:rPr>
                <w:rFonts w:cs="Times New Roman"/>
                <w:sz w:val="28"/>
                <w:szCs w:val="28"/>
              </w:rPr>
              <w:t>12</w:t>
            </w:r>
            <w:r w:rsidR="004907A8" w:rsidRPr="00B57C6E">
              <w:rPr>
                <w:rFonts w:cs="Times New Roman"/>
                <w:sz w:val="28"/>
                <w:szCs w:val="28"/>
              </w:rPr>
              <w:t>EO</w:t>
            </w:r>
          </w:p>
        </w:tc>
        <w:tc>
          <w:tcPr>
            <w:tcW w:w="1616" w:type="dxa"/>
            <w:shd w:val="clear" w:color="auto" w:fill="EEECE1" w:themeFill="background2"/>
          </w:tcPr>
          <w:p w:rsidR="004907A8" w:rsidRPr="00BE2B6A" w:rsidRDefault="00E16DFA" w:rsidP="00201227">
            <w:pPr>
              <w:spacing w:line="240" w:lineRule="auto"/>
              <w:jc w:val="center"/>
              <w:cnfStyle w:val="000000100000"/>
              <w:rPr>
                <w:rFonts w:cs="Times New Roman"/>
                <w:sz w:val="28"/>
                <w:szCs w:val="28"/>
              </w:rPr>
            </w:pPr>
            <w:r>
              <w:rPr>
                <w:rFonts w:cs="Times New Roman"/>
                <w:sz w:val="28"/>
                <w:szCs w:val="28"/>
              </w:rPr>
              <w:t>12</w:t>
            </w:r>
            <w:r w:rsidR="004907A8">
              <w:rPr>
                <w:rFonts w:cs="Times New Roman"/>
                <w:sz w:val="28"/>
                <w:szCs w:val="28"/>
              </w:rPr>
              <w:t xml:space="preserve"> EO</w:t>
            </w:r>
          </w:p>
        </w:tc>
        <w:tc>
          <w:tcPr>
            <w:tcW w:w="1136" w:type="dxa"/>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11</w:t>
            </w:r>
          </w:p>
        </w:tc>
        <w:tc>
          <w:tcPr>
            <w:tcW w:w="1195" w:type="dxa"/>
            <w:shd w:val="clear" w:color="auto" w:fill="EEECE1" w:themeFill="background2"/>
          </w:tcPr>
          <w:p w:rsidR="004907A8" w:rsidRPr="00BE2B6A" w:rsidRDefault="00E16DFA" w:rsidP="00E16DFA">
            <w:pPr>
              <w:spacing w:line="240" w:lineRule="auto"/>
              <w:jc w:val="center"/>
              <w:cnfStyle w:val="000000100000"/>
              <w:rPr>
                <w:rFonts w:cs="Times New Roman"/>
                <w:sz w:val="28"/>
                <w:szCs w:val="28"/>
              </w:rPr>
            </w:pPr>
            <w:r>
              <w:rPr>
                <w:rFonts w:cs="Times New Roman"/>
                <w:sz w:val="28"/>
                <w:szCs w:val="28"/>
              </w:rPr>
              <w:t>62</w:t>
            </w:r>
          </w:p>
        </w:tc>
        <w:tc>
          <w:tcPr>
            <w:tcW w:w="1309" w:type="dxa"/>
            <w:shd w:val="clear" w:color="auto" w:fill="EEECE1" w:themeFill="background2"/>
          </w:tcPr>
          <w:p w:rsidR="004907A8" w:rsidRPr="00BE2B6A" w:rsidRDefault="00E16DFA" w:rsidP="004E6706">
            <w:pPr>
              <w:spacing w:line="240" w:lineRule="auto"/>
              <w:jc w:val="center"/>
              <w:cnfStyle w:val="000000100000"/>
              <w:rPr>
                <w:rFonts w:cs="Times New Roman"/>
                <w:sz w:val="28"/>
                <w:szCs w:val="28"/>
              </w:rPr>
            </w:pPr>
            <w:r>
              <w:rPr>
                <w:rFonts w:cs="Times New Roman"/>
                <w:sz w:val="28"/>
                <w:szCs w:val="28"/>
              </w:rPr>
              <w:t>62</w:t>
            </w:r>
          </w:p>
        </w:tc>
        <w:tc>
          <w:tcPr>
            <w:tcW w:w="1336" w:type="dxa"/>
            <w:tcBorders>
              <w:right w:val="single" w:sz="4" w:space="0" w:color="auto"/>
            </w:tcBorders>
            <w:shd w:val="clear" w:color="auto" w:fill="EEECE1" w:themeFill="background2"/>
          </w:tcPr>
          <w:p w:rsidR="004907A8" w:rsidRPr="00BE2B6A" w:rsidRDefault="004907A8" w:rsidP="004E6706">
            <w:pPr>
              <w:spacing w:line="240" w:lineRule="auto"/>
              <w:jc w:val="center"/>
              <w:cnfStyle w:val="000000100000"/>
              <w:rPr>
                <w:rFonts w:cs="Times New Roman"/>
                <w:sz w:val="28"/>
                <w:szCs w:val="28"/>
              </w:rPr>
            </w:pPr>
            <w:r w:rsidRPr="00BE2B6A">
              <w:rPr>
                <w:rFonts w:cs="Times New Roman"/>
                <w:sz w:val="28"/>
                <w:szCs w:val="28"/>
              </w:rPr>
              <w:t>1:12</w:t>
            </w:r>
          </w:p>
        </w:tc>
        <w:tc>
          <w:tcPr>
            <w:tcW w:w="1090" w:type="dxa"/>
            <w:tcBorders>
              <w:right w:val="single" w:sz="4" w:space="0" w:color="auto"/>
            </w:tcBorders>
            <w:shd w:val="clear" w:color="auto" w:fill="EEECE1" w:themeFill="background2"/>
          </w:tcPr>
          <w:p w:rsidR="004907A8" w:rsidRPr="00BE2B6A" w:rsidRDefault="00F814F5" w:rsidP="004E6706">
            <w:pPr>
              <w:spacing w:line="240" w:lineRule="auto"/>
              <w:jc w:val="center"/>
              <w:cnfStyle w:val="000000100000"/>
              <w:rPr>
                <w:rFonts w:cs="Times New Roman"/>
                <w:sz w:val="28"/>
                <w:szCs w:val="28"/>
              </w:rPr>
            </w:pPr>
            <w:r>
              <w:rPr>
                <w:rFonts w:cs="Times New Roman"/>
                <w:sz w:val="28"/>
                <w:szCs w:val="28"/>
              </w:rPr>
              <w:t>46787</w:t>
            </w:r>
          </w:p>
        </w:tc>
      </w:tr>
      <w:tr w:rsidR="004907A8" w:rsidRPr="00BE2B6A" w:rsidTr="004907A8">
        <w:trPr>
          <w:cnfStyle w:val="000000010000"/>
          <w:jc w:val="center"/>
        </w:trPr>
        <w:tc>
          <w:tcPr>
            <w:cnfStyle w:val="001000000000"/>
            <w:tcW w:w="1606" w:type="dxa"/>
            <w:tcBorders>
              <w:left w:val="single" w:sz="4" w:space="0" w:color="auto"/>
              <w:bottom w:val="single" w:sz="4" w:space="0" w:color="auto"/>
            </w:tcBorders>
          </w:tcPr>
          <w:p w:rsidR="004907A8" w:rsidRPr="00B57C6E" w:rsidRDefault="00E16DFA" w:rsidP="004E6706">
            <w:pPr>
              <w:spacing w:line="240" w:lineRule="auto"/>
              <w:jc w:val="center"/>
              <w:rPr>
                <w:rFonts w:cs="Times New Roman"/>
                <w:sz w:val="28"/>
                <w:szCs w:val="28"/>
              </w:rPr>
            </w:pPr>
            <w:r>
              <w:rPr>
                <w:rFonts w:cs="Times New Roman"/>
                <w:sz w:val="28"/>
                <w:szCs w:val="28"/>
              </w:rPr>
              <w:t>15</w:t>
            </w:r>
            <w:r w:rsidR="004907A8" w:rsidRPr="00B57C6E">
              <w:rPr>
                <w:rFonts w:cs="Times New Roman"/>
                <w:sz w:val="28"/>
                <w:szCs w:val="28"/>
              </w:rPr>
              <w:t>EO</w:t>
            </w:r>
          </w:p>
        </w:tc>
        <w:tc>
          <w:tcPr>
            <w:tcW w:w="1616" w:type="dxa"/>
            <w:tcBorders>
              <w:bottom w:val="single" w:sz="4" w:space="0" w:color="auto"/>
            </w:tcBorders>
          </w:tcPr>
          <w:p w:rsidR="004907A8" w:rsidRPr="00BE2B6A" w:rsidRDefault="00E16DFA" w:rsidP="00201227">
            <w:pPr>
              <w:spacing w:line="240" w:lineRule="auto"/>
              <w:jc w:val="center"/>
              <w:cnfStyle w:val="000000010000"/>
              <w:rPr>
                <w:rFonts w:cs="Times New Roman"/>
                <w:sz w:val="28"/>
                <w:szCs w:val="28"/>
              </w:rPr>
            </w:pPr>
            <w:r>
              <w:rPr>
                <w:rFonts w:cs="Times New Roman"/>
                <w:sz w:val="28"/>
                <w:szCs w:val="28"/>
              </w:rPr>
              <w:t>15</w:t>
            </w:r>
            <w:r w:rsidR="004907A8">
              <w:rPr>
                <w:rFonts w:cs="Times New Roman"/>
                <w:sz w:val="28"/>
                <w:szCs w:val="28"/>
              </w:rPr>
              <w:t xml:space="preserve"> EO</w:t>
            </w:r>
          </w:p>
        </w:tc>
        <w:tc>
          <w:tcPr>
            <w:tcW w:w="1136" w:type="dxa"/>
            <w:tcBorders>
              <w:bottom w:val="single" w:sz="4" w:space="0" w:color="auto"/>
            </w:tcBorders>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14</w:t>
            </w:r>
          </w:p>
        </w:tc>
        <w:tc>
          <w:tcPr>
            <w:tcW w:w="1195" w:type="dxa"/>
            <w:tcBorders>
              <w:bottom w:val="single" w:sz="4" w:space="0" w:color="auto"/>
            </w:tcBorders>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51</w:t>
            </w:r>
          </w:p>
        </w:tc>
        <w:tc>
          <w:tcPr>
            <w:tcW w:w="1309" w:type="dxa"/>
            <w:tcBorders>
              <w:bottom w:val="single" w:sz="4" w:space="0" w:color="auto"/>
            </w:tcBorders>
          </w:tcPr>
          <w:p w:rsidR="004907A8" w:rsidRPr="00BE2B6A" w:rsidRDefault="00E16DFA" w:rsidP="004E6706">
            <w:pPr>
              <w:spacing w:line="240" w:lineRule="auto"/>
              <w:jc w:val="center"/>
              <w:cnfStyle w:val="000000010000"/>
              <w:rPr>
                <w:rFonts w:cs="Times New Roman"/>
                <w:sz w:val="28"/>
                <w:szCs w:val="28"/>
              </w:rPr>
            </w:pPr>
            <w:r>
              <w:rPr>
                <w:rFonts w:cs="Times New Roman"/>
                <w:sz w:val="28"/>
                <w:szCs w:val="28"/>
              </w:rPr>
              <w:t>63</w:t>
            </w:r>
          </w:p>
        </w:tc>
        <w:tc>
          <w:tcPr>
            <w:tcW w:w="1336" w:type="dxa"/>
            <w:tcBorders>
              <w:bottom w:val="single" w:sz="4" w:space="0" w:color="auto"/>
              <w:right w:val="single" w:sz="4" w:space="0" w:color="auto"/>
            </w:tcBorders>
          </w:tcPr>
          <w:p w:rsidR="004907A8" w:rsidRPr="00BE2B6A" w:rsidRDefault="004907A8" w:rsidP="004E6706">
            <w:pPr>
              <w:spacing w:line="240" w:lineRule="auto"/>
              <w:jc w:val="center"/>
              <w:cnfStyle w:val="000000010000"/>
              <w:rPr>
                <w:rFonts w:cs="Times New Roman"/>
                <w:sz w:val="28"/>
                <w:szCs w:val="28"/>
              </w:rPr>
            </w:pPr>
            <w:r w:rsidRPr="00BE2B6A">
              <w:rPr>
                <w:rFonts w:cs="Times New Roman"/>
                <w:sz w:val="28"/>
                <w:szCs w:val="28"/>
              </w:rPr>
              <w:t>1:12</w:t>
            </w:r>
          </w:p>
        </w:tc>
        <w:tc>
          <w:tcPr>
            <w:tcW w:w="1090" w:type="dxa"/>
            <w:tcBorders>
              <w:bottom w:val="single" w:sz="4" w:space="0" w:color="auto"/>
              <w:right w:val="single" w:sz="4" w:space="0" w:color="auto"/>
            </w:tcBorders>
          </w:tcPr>
          <w:p w:rsidR="004907A8" w:rsidRPr="00BE2B6A" w:rsidRDefault="00F814F5" w:rsidP="004E6706">
            <w:pPr>
              <w:spacing w:line="240" w:lineRule="auto"/>
              <w:jc w:val="center"/>
              <w:cnfStyle w:val="000000010000"/>
              <w:rPr>
                <w:rFonts w:cs="Times New Roman"/>
                <w:sz w:val="28"/>
                <w:szCs w:val="28"/>
              </w:rPr>
            </w:pPr>
            <w:r>
              <w:rPr>
                <w:rFonts w:cs="Times New Roman"/>
                <w:sz w:val="28"/>
                <w:szCs w:val="28"/>
              </w:rPr>
              <w:t>46230</w:t>
            </w:r>
          </w:p>
        </w:tc>
      </w:tr>
    </w:tbl>
    <w:p w:rsidR="004E6706" w:rsidRDefault="004E6706" w:rsidP="007D722A">
      <w:pPr>
        <w:rPr>
          <w:b/>
        </w:rPr>
      </w:pPr>
    </w:p>
    <w:p w:rsidR="00C632B4" w:rsidRDefault="00C632B4" w:rsidP="007D722A">
      <w:r w:rsidRPr="000B41E1">
        <w:rPr>
          <w:b/>
        </w:rPr>
        <w:t>Tabel 1:</w:t>
      </w:r>
      <w:r>
        <w:t xml:space="preserve"> Modelleeritud süsteemide parameetrid.</w:t>
      </w:r>
      <w:bookmarkStart w:id="53" w:name="_Toc231118070"/>
    </w:p>
    <w:p w:rsidR="00C632B4" w:rsidRPr="00CA6F88" w:rsidRDefault="00C632B4" w:rsidP="00AF1811">
      <w:pPr>
        <w:pStyle w:val="Heading2"/>
      </w:pPr>
      <w:bookmarkStart w:id="54" w:name="_Toc321348216"/>
      <w:bookmarkStart w:id="55" w:name="_Toc325224180"/>
      <w:r w:rsidRPr="00CA6F88">
        <w:rPr>
          <w:rStyle w:val="Heading2Char"/>
        </w:rPr>
        <w:lastRenderedPageBreak/>
        <w:t>3.4</w:t>
      </w:r>
      <w:r w:rsidR="00012E12">
        <w:rPr>
          <w:rStyle w:val="Heading2Char"/>
        </w:rPr>
        <w:t>.</w:t>
      </w:r>
      <w:r w:rsidRPr="00CA6F88">
        <w:rPr>
          <w:rStyle w:val="Heading2Char"/>
        </w:rPr>
        <w:t xml:space="preserve">   Simulatsioonidetailid</w:t>
      </w:r>
      <w:bookmarkEnd w:id="53"/>
      <w:bookmarkEnd w:id="54"/>
      <w:bookmarkEnd w:id="55"/>
    </w:p>
    <w:p w:rsidR="00C632B4" w:rsidRDefault="00C632B4" w:rsidP="007D722A">
      <w:pPr>
        <w:pStyle w:val="Heading3"/>
        <w:rPr>
          <w:b/>
        </w:rPr>
      </w:pPr>
      <w:bookmarkStart w:id="56" w:name="_Toc231118071"/>
      <w:bookmarkStart w:id="57" w:name="_Toc321348217"/>
      <w:bookmarkStart w:id="58" w:name="_Toc325224181"/>
      <w:r w:rsidRPr="00B803EC">
        <w:t>3.4.</w:t>
      </w:r>
      <w:r w:rsidR="0082362B">
        <w:t>1.  Programmid ja simulatsiooni</w:t>
      </w:r>
      <w:r w:rsidRPr="00B803EC">
        <w:t>tingimused</w:t>
      </w:r>
      <w:bookmarkEnd w:id="56"/>
      <w:bookmarkEnd w:id="57"/>
      <w:bookmarkEnd w:id="58"/>
    </w:p>
    <w:p w:rsidR="00C632B4" w:rsidRDefault="0082362B" w:rsidP="007D722A">
      <w:r>
        <w:t>Sõsteemi koostamiseks genereeriti p</w:t>
      </w:r>
      <w:r w:rsidRPr="00F44CAB">
        <w:t xml:space="preserve">rogrammiga </w:t>
      </w:r>
      <w:r w:rsidRPr="00F44CAB">
        <w:rPr>
          <w:i/>
        </w:rPr>
        <w:t>mcgen</w:t>
      </w:r>
      <w:r w:rsidRPr="00F44CAB">
        <w:t xml:space="preserve"> </w:t>
      </w:r>
      <w:sdt>
        <w:sdtPr>
          <w:id w:val="321317"/>
          <w:citation/>
        </w:sdtPr>
        <w:sdtContent>
          <w:fldSimple w:instr=" CITATION AA \l 1061  ">
            <w:r w:rsidR="005B76C8">
              <w:rPr>
                <w:noProof/>
              </w:rPr>
              <w:t>[</w:t>
            </w:r>
            <w:hyperlink w:anchor="AA" w:history="1">
              <w:r w:rsidR="005B76C8" w:rsidRPr="005B76C8">
                <w:rPr>
                  <w:rStyle w:val="Heading2Char"/>
                  <w:rFonts w:eastAsiaTheme="minorHAnsi" w:cstheme="minorBidi"/>
                  <w:noProof/>
                  <w:sz w:val="24"/>
                  <w:szCs w:val="22"/>
                </w:rPr>
                <w:t>45</w:t>
              </w:r>
            </w:hyperlink>
            <w:r w:rsidR="005B76C8">
              <w:rPr>
                <w:noProof/>
              </w:rPr>
              <w:t>]</w:t>
            </w:r>
          </w:fldSimple>
        </w:sdtContent>
      </w:sdt>
      <w:r w:rsidRPr="00F44CAB">
        <w:t xml:space="preserve"> </w:t>
      </w:r>
      <w:r>
        <w:t xml:space="preserve">Monte Carlo meetodil </w:t>
      </w:r>
      <w:r w:rsidR="00C632B4" w:rsidRPr="00F44CAB">
        <w:t>peaahel koos kõrva</w:t>
      </w:r>
      <w:r w:rsidR="00045AE8">
        <w:t>lahelatega (joonis 7</w:t>
      </w:r>
      <w:r w:rsidR="00C632B4">
        <w:t>). Seejärel paigutati genereeritud algmudel 6</w:t>
      </w:r>
      <w:r w:rsidR="00C632B4" w:rsidRPr="00F44CAB">
        <w:t>0Åx</w:t>
      </w:r>
      <w:r w:rsidR="00C632B4">
        <w:t>6</w:t>
      </w:r>
      <w:r w:rsidR="00C632B4" w:rsidRPr="00F44CAB">
        <w:t>0Åx</w:t>
      </w:r>
      <w:r w:rsidR="00C632B4">
        <w:t>60Å</w:t>
      </w:r>
      <w:r w:rsidR="00C632B4" w:rsidRPr="00F44CAB">
        <w:t xml:space="preserve"> </w:t>
      </w:r>
      <w:r w:rsidR="00C632B4">
        <w:t xml:space="preserve"> suurusesse simulatsioonib</w:t>
      </w:r>
      <w:r w:rsidR="00045AE8">
        <w:t>oksi (joonis 8</w:t>
      </w:r>
      <w:r w:rsidR="00DA7FE2">
        <w:t xml:space="preserve">). </w:t>
      </w:r>
      <w:r w:rsidR="00C632B4">
        <w:t>Lõpuks lisati s</w:t>
      </w:r>
      <w:r w:rsidR="00C632B4" w:rsidRPr="00F44CAB">
        <w:t>imulatsiooniboksi juhuslikult</w:t>
      </w:r>
      <w:r w:rsidR="00C632B4">
        <w:t xml:space="preserve"> valitud ruumipunktidesse</w:t>
      </w:r>
      <w:r w:rsidR="00C632B4" w:rsidRPr="00F44CAB">
        <w:t xml:space="preserve"> Li</w:t>
      </w:r>
      <w:r w:rsidR="00C632B4">
        <w:t>-ioonid</w:t>
      </w:r>
      <w:r w:rsidR="00C632B4" w:rsidRPr="00F44CAB">
        <w:t xml:space="preserve"> ja PF</w:t>
      </w:r>
      <w:r w:rsidR="00C632B4">
        <w:rPr>
          <w:vertAlign w:val="subscript"/>
        </w:rPr>
        <w:t>6</w:t>
      </w:r>
      <w:r w:rsidR="00C632B4" w:rsidRPr="00F44CAB">
        <w:t>-ioonid.</w:t>
      </w:r>
      <w:r w:rsidR="004E650A">
        <w:t xml:space="preserve"> Ahelate genereerimisel ja soolaioonide lisamisel arvestati risttahukale vastavate perioodiliste ääretingimustega.</w:t>
      </w:r>
    </w:p>
    <w:p w:rsidR="00C632B4" w:rsidRDefault="005D31BC" w:rsidP="007D722A">
      <w:r>
        <w:rPr>
          <w:noProof/>
          <w:lang w:eastAsia="et-EE"/>
        </w:rPr>
        <w:drawing>
          <wp:inline distT="0" distB="0" distL="0" distR="0">
            <wp:extent cx="5760720" cy="373374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60720" cy="3733741"/>
                    </a:xfrm>
                    <a:prstGeom prst="rect">
                      <a:avLst/>
                    </a:prstGeom>
                    <a:noFill/>
                    <a:ln w="9525">
                      <a:noFill/>
                      <a:miter lim="800000"/>
                      <a:headEnd/>
                      <a:tailEnd/>
                    </a:ln>
                  </pic:spPr>
                </pic:pic>
              </a:graphicData>
            </a:graphic>
          </wp:inline>
        </w:drawing>
      </w:r>
    </w:p>
    <w:p w:rsidR="007F053A" w:rsidRDefault="00045AE8" w:rsidP="007D722A">
      <w:r>
        <w:rPr>
          <w:b/>
        </w:rPr>
        <w:t>Joonis 7</w:t>
      </w:r>
      <w:r w:rsidR="00C632B4" w:rsidRPr="000B41E1">
        <w:rPr>
          <w:b/>
        </w:rPr>
        <w:t>:</w:t>
      </w:r>
      <w:r w:rsidR="00C632B4">
        <w:t xml:space="preserve"> </w:t>
      </w:r>
      <w:r w:rsidR="008B189F">
        <w:t>6</w:t>
      </w:r>
      <w:r w:rsidR="007F053A">
        <w:t>EO</w:t>
      </w:r>
      <w:r w:rsidR="00C632B4">
        <w:t xml:space="preserve"> süsteem peale ahelate genereerimist</w:t>
      </w:r>
      <w:r w:rsidR="007F053A">
        <w:t>.</w:t>
      </w:r>
      <w:r w:rsidR="005D31BC">
        <w:t xml:space="preserve"> Sinisega on kujutatud peaahel ja punasega kõrvalahelad.</w:t>
      </w:r>
    </w:p>
    <w:p w:rsidR="005D31BC" w:rsidRDefault="00C632B4" w:rsidP="007D722A">
      <w:r>
        <w:t xml:space="preserve">MD simulatsioonid teostati programmiga </w:t>
      </w:r>
      <w:r w:rsidRPr="005B63C3">
        <w:rPr>
          <w:i/>
        </w:rPr>
        <w:t xml:space="preserve">DL_POLY </w:t>
      </w:r>
      <w:r>
        <w:rPr>
          <w:i/>
        </w:rPr>
        <w:t xml:space="preserve">2 </w:t>
      </w:r>
      <w:sdt>
        <w:sdtPr>
          <w:rPr>
            <w:i/>
          </w:rPr>
          <w:id w:val="321318"/>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t xml:space="preserve">. Iga süsteemi simulatsioon sisaldas 4 etappi, millest esimesel kahel etapil hoiti </w:t>
      </w:r>
      <w:r w:rsidRPr="00F44CAB">
        <w:t>Li</w:t>
      </w:r>
      <w:r w:rsidR="00215283">
        <w:rPr>
          <w:vertAlign w:val="superscript"/>
        </w:rPr>
        <w:t>+</w:t>
      </w:r>
      <w:r>
        <w:t>-ioonid</w:t>
      </w:r>
      <w:r w:rsidRPr="00F44CAB">
        <w:t xml:space="preserve"> ja PF</w:t>
      </w:r>
      <w:r>
        <w:rPr>
          <w:vertAlign w:val="subscript"/>
        </w:rPr>
        <w:t>6</w:t>
      </w:r>
      <w:r>
        <w:rPr>
          <w:vertAlign w:val="superscript"/>
        </w:rPr>
        <w:t>-</w:t>
      </w:r>
      <w:r w:rsidRPr="00F44CAB">
        <w:t>-ioonid</w:t>
      </w:r>
      <w:r>
        <w:t xml:space="preserve"> algses asukohas. Selli</w:t>
      </w:r>
      <w:r w:rsidR="00215283">
        <w:t>n</w:t>
      </w:r>
      <w:r>
        <w:t>e</w:t>
      </w:r>
      <w:r w:rsidR="00215283">
        <w:t xml:space="preserve"> soolade kinni</w:t>
      </w:r>
      <w:r>
        <w:t xml:space="preserve">hoidmine simulatsiooni algfaasis laseb polümeeriahelatel liikuda ioonide vahele ja leida seal energeetiliselt sobivam asend. </w:t>
      </w:r>
      <w:r w:rsidR="00215283">
        <w:t xml:space="preserve">Samuti väldib see soolaioonide kohest klasterdumist. </w:t>
      </w:r>
      <w:r>
        <w:t xml:space="preserve">Simulatsiooni esimeses etapis kasutati </w:t>
      </w:r>
      <w:r w:rsidR="00A2041F">
        <w:t xml:space="preserve">kanoonilist ansamblit </w:t>
      </w:r>
      <w:r>
        <w:t>NVT</w:t>
      </w:r>
      <w:r w:rsidR="00B6490C">
        <w:t xml:space="preserve"> (Nose-Hoover</w:t>
      </w:r>
      <w:r w:rsidR="008B189F">
        <w:t>i</w:t>
      </w:r>
      <w:r w:rsidR="00B6490C">
        <w:t xml:space="preserve"> termost</w:t>
      </w:r>
      <w:r w:rsidR="008B189F">
        <w:t>aadiga</w:t>
      </w:r>
      <w:r w:rsidR="00B6490C">
        <w:t>)</w:t>
      </w:r>
      <w:r w:rsidR="0098126C">
        <w:t xml:space="preserve"> </w:t>
      </w:r>
      <w:sdt>
        <w:sdtPr>
          <w:id w:val="1146735"/>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t xml:space="preserve">, mille korral osakeste arv N, ruumala V ja temperatuur T hoiti konstantsena. Antud ansambliga simulatsioon kestis 2 nanosekundit 1 femptosekundilise ajasammuga temperatuuril 293 K ja rõhul 1 </w:t>
      </w:r>
      <w:r w:rsidR="00514D47">
        <w:t>bar</w:t>
      </w:r>
      <w:r>
        <w:t xml:space="preserve">. Termostaadi ajakonstant oli 0.1 ps. </w:t>
      </w:r>
      <w:r>
        <w:lastRenderedPageBreak/>
        <w:t>Järgmiseks simulatsioonisammuks asendati NVT</w:t>
      </w:r>
      <w:r w:rsidR="00A2041F">
        <w:t xml:space="preserve"> ansambel isotermili</w:t>
      </w:r>
      <w:r w:rsidR="0098126C">
        <w:t>se-isobaarilis</w:t>
      </w:r>
      <w:r w:rsidR="00A2041F">
        <w:t xml:space="preserve">e  NPT </w:t>
      </w:r>
      <w:r>
        <w:t>ansambliga</w:t>
      </w:r>
      <w:r w:rsidR="00B6490C">
        <w:t xml:space="preserve"> (Nose-Hoover</w:t>
      </w:r>
      <w:r w:rsidR="008B189F">
        <w:t>i</w:t>
      </w:r>
      <w:r w:rsidR="00B6490C">
        <w:t xml:space="preserve"> barost</w:t>
      </w:r>
      <w:r w:rsidR="008B189F">
        <w:t>a</w:t>
      </w:r>
      <w:r w:rsidR="00B6490C">
        <w:t>a</w:t>
      </w:r>
      <w:r w:rsidR="008B189F">
        <w:t>diga</w:t>
      </w:r>
      <w:r w:rsidR="00B6490C">
        <w:t>)</w:t>
      </w:r>
      <w:r w:rsidR="0098126C">
        <w:t xml:space="preserve"> </w:t>
      </w:r>
      <w:sdt>
        <w:sdtPr>
          <w:id w:val="1146736"/>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t xml:space="preserve">, mille korral hoiti konstantsena osakeste arvu N, rõhku P ja temperatuuri T. Termostaadi ajakonstant oli 0.1 ps ja barostaadil vastavalt 0.3 ps. Temperatuuril 293 K ja rõhul 1 </w:t>
      </w:r>
      <w:r w:rsidR="00BC3A93">
        <w:t>bar</w:t>
      </w:r>
      <w:r>
        <w:t xml:space="preserve"> toimus simulatsioon 20 ns jooksul ajasammuga 1 f</w:t>
      </w:r>
      <w:r w:rsidR="00DB30F5">
        <w:t>s</w:t>
      </w:r>
      <w:r>
        <w:t xml:space="preserve">.  Simulatsiooni kolmas ja neljas etapp </w:t>
      </w:r>
      <w:r w:rsidR="00BC3A93">
        <w:t>sarnanesid parameetrite poolest kahe eelne</w:t>
      </w:r>
      <w:r w:rsidR="00215283">
        <w:t>va</w:t>
      </w:r>
      <w:r w:rsidR="00BC3A93">
        <w:t>ga</w:t>
      </w:r>
      <w:r>
        <w:t xml:space="preserve">, kuid </w:t>
      </w:r>
      <w:r w:rsidR="00BC3A93">
        <w:t>nüüd enam i</w:t>
      </w:r>
      <w:r>
        <w:t>oonide</w:t>
      </w:r>
      <w:r w:rsidR="00D92B4C">
        <w:t xml:space="preserve"> </w:t>
      </w:r>
      <w:r>
        <w:t>l</w:t>
      </w:r>
      <w:r w:rsidR="00D92B4C">
        <w:t>iikumist</w:t>
      </w:r>
      <w:r>
        <w:t xml:space="preserve"> süsteemis</w:t>
      </w:r>
      <w:r w:rsidR="00BC3A93">
        <w:t xml:space="preserve"> </w:t>
      </w:r>
      <w:r w:rsidR="00D92B4C">
        <w:t>ei piirat</w:t>
      </w:r>
      <w:r w:rsidR="00BC3A93">
        <w:t>ud</w:t>
      </w:r>
      <w:r>
        <w:t xml:space="preserve">. </w:t>
      </w:r>
    </w:p>
    <w:p w:rsidR="00C632B4" w:rsidRDefault="005D31BC" w:rsidP="005D31BC">
      <w:pPr>
        <w:jc w:val="center"/>
      </w:pPr>
      <w:r>
        <w:rPr>
          <w:noProof/>
          <w:lang w:eastAsia="et-EE"/>
        </w:rPr>
        <w:drawing>
          <wp:inline distT="0" distB="0" distL="0" distR="0">
            <wp:extent cx="5295494" cy="5108475"/>
            <wp:effectExtent l="19050" t="0" r="40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96732" cy="5109669"/>
                    </a:xfrm>
                    <a:prstGeom prst="rect">
                      <a:avLst/>
                    </a:prstGeom>
                    <a:noFill/>
                    <a:ln w="9525">
                      <a:noFill/>
                      <a:miter lim="800000"/>
                      <a:headEnd/>
                      <a:tailEnd/>
                    </a:ln>
                  </pic:spPr>
                </pic:pic>
              </a:graphicData>
            </a:graphic>
          </wp:inline>
        </w:drawing>
      </w:r>
    </w:p>
    <w:p w:rsidR="005D2D22" w:rsidRPr="005D2D22" w:rsidRDefault="00045AE8" w:rsidP="007D722A">
      <w:r>
        <w:rPr>
          <w:b/>
        </w:rPr>
        <w:t>Joonis 8</w:t>
      </w:r>
      <w:r w:rsidR="00C632B4" w:rsidRPr="000B41E1">
        <w:rPr>
          <w:b/>
        </w:rPr>
        <w:t>:</w:t>
      </w:r>
      <w:r w:rsidR="00C632B4">
        <w:t xml:space="preserve"> </w:t>
      </w:r>
      <w:r w:rsidR="00037E59">
        <w:t>6</w:t>
      </w:r>
      <w:r w:rsidR="005D31BC">
        <w:t xml:space="preserve">EO </w:t>
      </w:r>
      <w:r w:rsidR="00C632B4">
        <w:t>süsteem perioodilises simulatsioonirakus.</w:t>
      </w:r>
      <w:r w:rsidR="005D2D22">
        <w:t xml:space="preserve"> Sinisega on kujutatud peaahel, punasega kõrvalahelad, rohelisega soola anioonid PF</w:t>
      </w:r>
      <w:r w:rsidR="005D2D22">
        <w:rPr>
          <w:vertAlign w:val="subscript"/>
        </w:rPr>
        <w:t>6</w:t>
      </w:r>
      <w:r w:rsidR="005D2D22">
        <w:rPr>
          <w:vertAlign w:val="superscript"/>
        </w:rPr>
        <w:t>-</w:t>
      </w:r>
      <w:r w:rsidR="005D2D22">
        <w:t xml:space="preserve"> ja kollasega Li-ioonid</w:t>
      </w:r>
      <w:r w:rsidR="005B7CA2">
        <w:t>.</w:t>
      </w:r>
    </w:p>
    <w:p w:rsidR="00C632B4" w:rsidRDefault="00C632B4" w:rsidP="007D722A">
      <w:r>
        <w:t>Statistiliseks analüü</w:t>
      </w:r>
      <w:r w:rsidR="001C4AD6">
        <w:t>siks valiti simulatsiooni viimas</w:t>
      </w:r>
      <w:r>
        <w:t xml:space="preserve">e </w:t>
      </w:r>
      <w:r w:rsidR="001C4AD6">
        <w:t>etapi teine pool (10ns)</w:t>
      </w:r>
      <w:r>
        <w:t xml:space="preserve"> ning koguti andmeid iga 1000 ajas</w:t>
      </w:r>
      <w:r w:rsidR="00037E59">
        <w:t>ammu ehk 1 pikosekundi tagant. F</w:t>
      </w:r>
      <w:r>
        <w:t xml:space="preserve">emptosekundiline arvutustäpsus </w:t>
      </w:r>
      <w:r w:rsidR="00BE755A">
        <w:t xml:space="preserve">arvestab aatomite, sidemete ja nurkade võnkesagedusi </w:t>
      </w:r>
      <w:r w:rsidR="00037E59">
        <w:t>kuni</w:t>
      </w:r>
      <w:r w:rsidR="00BE755A">
        <w:t xml:space="preserve"> </w:t>
      </w:r>
      <w:r w:rsidR="00037E59">
        <w:t>10</w:t>
      </w:r>
      <w:r w:rsidR="00BE755A">
        <w:rPr>
          <w:vertAlign w:val="superscript"/>
        </w:rPr>
        <w:t xml:space="preserve">15 </w:t>
      </w:r>
      <w:r w:rsidR="00BE755A">
        <w:t>Hz</w:t>
      </w:r>
      <w:r w:rsidR="00186AA4">
        <w:t>,</w:t>
      </w:r>
      <w:r w:rsidR="00037E59">
        <w:t xml:space="preserve"> </w:t>
      </w:r>
      <w:r w:rsidR="0073416C">
        <w:t>saavutades</w:t>
      </w:r>
      <w:r w:rsidR="00BE755A">
        <w:t xml:space="preserve"> </w:t>
      </w:r>
      <w:r w:rsidR="00186AA4">
        <w:t xml:space="preserve">nii </w:t>
      </w:r>
      <w:r w:rsidR="00BE755A">
        <w:t>aine realistlik</w:t>
      </w:r>
      <w:r w:rsidR="00215283">
        <w:t>u</w:t>
      </w:r>
      <w:r w:rsidR="00037E59">
        <w:t xml:space="preserve"> käitumi</w:t>
      </w:r>
      <w:r w:rsidR="00215283">
        <w:t>s</w:t>
      </w:r>
      <w:r w:rsidR="00037E59">
        <w:t>e</w:t>
      </w:r>
      <w:r w:rsidR="00186AA4">
        <w:t>.</w:t>
      </w:r>
      <w:r>
        <w:t xml:space="preserve"> </w:t>
      </w:r>
      <w:r w:rsidR="00186AA4">
        <w:t>P</w:t>
      </w:r>
      <w:r>
        <w:t xml:space="preserve">ikosekundiline andmete </w:t>
      </w:r>
      <w:r w:rsidR="00215283">
        <w:t>kogumis</w:t>
      </w:r>
      <w:r>
        <w:t>tihedus</w:t>
      </w:r>
      <w:r w:rsidR="00186AA4">
        <w:t xml:space="preserve"> </w:t>
      </w:r>
      <w:r w:rsidR="0073416C">
        <w:t>tagab</w:t>
      </w:r>
      <w:r>
        <w:t xml:space="preserve"> analüüsiks piisava</w:t>
      </w:r>
      <w:r w:rsidR="0073416C">
        <w:t xml:space="preserve"> </w:t>
      </w:r>
      <w:r>
        <w:t>täps</w:t>
      </w:r>
      <w:r w:rsidR="0073416C">
        <w:t>us</w:t>
      </w:r>
      <w:r>
        <w:t>e</w:t>
      </w:r>
      <w:r w:rsidR="00186AA4">
        <w:t xml:space="preserve"> ja ülevaatliku</w:t>
      </w:r>
      <w:r w:rsidR="0073416C">
        <w:t>se</w:t>
      </w:r>
      <w:r>
        <w:t>.</w:t>
      </w:r>
    </w:p>
    <w:p w:rsidR="00C632B4" w:rsidRPr="00F37264" w:rsidRDefault="00C632B4" w:rsidP="00AF1811">
      <w:pPr>
        <w:pStyle w:val="Heading2"/>
      </w:pPr>
      <w:bookmarkStart w:id="59" w:name="_Toc231118072"/>
      <w:bookmarkStart w:id="60" w:name="_Toc321348218"/>
      <w:bookmarkStart w:id="61" w:name="_Toc325224182"/>
      <w:r w:rsidRPr="004213CE">
        <w:rPr>
          <w:rFonts w:cs="Times New Roman"/>
        </w:rPr>
        <w:lastRenderedPageBreak/>
        <w:t>3</w:t>
      </w:r>
      <w:r w:rsidRPr="00F37264">
        <w:t>.5.  Jõuväli</w:t>
      </w:r>
      <w:bookmarkEnd w:id="59"/>
      <w:bookmarkEnd w:id="60"/>
      <w:bookmarkEnd w:id="61"/>
    </w:p>
    <w:p w:rsidR="00C632B4" w:rsidRDefault="00C632B4" w:rsidP="007D722A">
      <w:pPr>
        <w:rPr>
          <w:sz w:val="26"/>
          <w:szCs w:val="26"/>
        </w:rPr>
      </w:pPr>
      <w:r>
        <w:t>Molekulaarse süsteemi konfiguratsiooniline koguenergia avaldub kujul:</w:t>
      </w:r>
      <w:r>
        <w:rPr>
          <w:sz w:val="26"/>
          <w:szCs w:val="26"/>
        </w:rPr>
        <w:t xml:space="preserve">  </w:t>
      </w:r>
    </w:p>
    <w:p w:rsidR="00C632B4" w:rsidRPr="008821A6" w:rsidRDefault="00C632B4" w:rsidP="004E6706">
      <w:pPr>
        <w:jc w:val="center"/>
      </w:pPr>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side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nurk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dih</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VdW</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coul</m:t>
            </m:r>
          </m:sub>
        </m:sSub>
      </m:oMath>
      <w:r w:rsidR="009C4AFC">
        <w:rPr>
          <w:sz w:val="26"/>
          <w:szCs w:val="26"/>
        </w:rPr>
        <w:t xml:space="preserve">   </w:t>
      </w:r>
      <w:r w:rsidR="009C4AFC">
        <w:rPr>
          <w:sz w:val="26"/>
          <w:szCs w:val="26"/>
        </w:rPr>
        <w:tab/>
        <w:t xml:space="preserve">    (1</w:t>
      </w:r>
      <w:r w:rsidR="003B2430">
        <w:rPr>
          <w:sz w:val="26"/>
          <w:szCs w:val="26"/>
        </w:rPr>
        <w:t>5</w:t>
      </w:r>
      <w:r>
        <w:rPr>
          <w:sz w:val="26"/>
          <w:szCs w:val="26"/>
        </w:rPr>
        <w:t>)</w:t>
      </w:r>
    </w:p>
    <w:p w:rsidR="00C632B4" w:rsidRPr="00E76227" w:rsidRDefault="00B23348" w:rsidP="007D722A">
      <m:oMath>
        <m:sSub>
          <m:sSubPr>
            <m:ctrlPr>
              <w:rPr>
                <w:rFonts w:ascii="Cambria Math" w:hAnsi="Cambria Math"/>
                <w:i/>
              </w:rPr>
            </m:ctrlPr>
          </m:sSubPr>
          <m:e>
            <m:r>
              <w:rPr>
                <w:rFonts w:ascii="Cambria Math" w:hAnsi="Cambria Math"/>
              </w:rPr>
              <m:t>V</m:t>
            </m:r>
          </m:e>
          <m:sub>
            <m:r>
              <w:rPr>
                <w:rFonts w:ascii="Cambria Math" w:hAnsi="Cambria Math"/>
              </w:rPr>
              <m:t>side</m:t>
            </m:r>
          </m:sub>
        </m:sSub>
      </m:oMath>
      <w:r w:rsidR="00C632B4" w:rsidRPr="00E76227">
        <w:t xml:space="preserve"> </w:t>
      </w:r>
      <w:r w:rsidR="00C632B4">
        <w:t>-</w:t>
      </w:r>
      <w:r w:rsidR="00C632B4" w:rsidRPr="00E76227">
        <w:t xml:space="preserve"> keemilise sideme energia; </w:t>
      </w:r>
      <m:oMath>
        <m:sSub>
          <m:sSubPr>
            <m:ctrlPr>
              <w:rPr>
                <w:rFonts w:ascii="Cambria Math" w:hAnsi="Cambria Math"/>
                <w:i/>
              </w:rPr>
            </m:ctrlPr>
          </m:sSubPr>
          <m:e>
            <m:r>
              <w:rPr>
                <w:rFonts w:ascii="Cambria Math" w:hAnsi="Cambria Math"/>
              </w:rPr>
              <m:t>V</m:t>
            </m:r>
          </m:e>
          <m:sub>
            <m:r>
              <w:rPr>
                <w:rFonts w:ascii="Cambria Math" w:hAnsi="Cambria Math"/>
              </w:rPr>
              <m:t>nurk</m:t>
            </m:r>
          </m:sub>
        </m:sSub>
      </m:oMath>
      <w:r w:rsidR="00C632B4" w:rsidRPr="00E76227">
        <w:t xml:space="preserve"> - </w:t>
      </w:r>
      <w:r w:rsidR="008B4BD5">
        <w:t>valentsnurga</w:t>
      </w:r>
      <w:r w:rsidR="00C632B4" w:rsidRPr="00E76227">
        <w:t xml:space="preserve"> energia; </w:t>
      </w:r>
      <m:oMath>
        <m:sSub>
          <m:sSubPr>
            <m:ctrlPr>
              <w:rPr>
                <w:rFonts w:ascii="Cambria Math" w:hAnsi="Cambria Math"/>
                <w:i/>
              </w:rPr>
            </m:ctrlPr>
          </m:sSubPr>
          <m:e>
            <m:r>
              <w:rPr>
                <w:rFonts w:ascii="Cambria Math" w:hAnsi="Cambria Math"/>
              </w:rPr>
              <m:t>V</m:t>
            </m:r>
          </m:e>
          <m:sub>
            <m:r>
              <w:rPr>
                <w:rFonts w:ascii="Cambria Math" w:hAnsi="Cambria Math"/>
              </w:rPr>
              <m:t>dih</m:t>
            </m:r>
          </m:sub>
        </m:sSub>
      </m:oMath>
      <w:r w:rsidR="00C632B4" w:rsidRPr="00E76227">
        <w:t xml:space="preserve"> </w:t>
      </w:r>
      <w:r w:rsidR="00C632B4">
        <w:t xml:space="preserve">- dihedraalnurga energia; </w:t>
      </w:r>
      <m:oMath>
        <m:sSub>
          <m:sSubPr>
            <m:ctrlPr>
              <w:rPr>
                <w:rFonts w:ascii="Cambria Math" w:hAnsi="Cambria Math"/>
                <w:i/>
              </w:rPr>
            </m:ctrlPr>
          </m:sSubPr>
          <m:e>
            <m:r>
              <w:rPr>
                <w:rFonts w:ascii="Cambria Math" w:hAnsi="Cambria Math"/>
              </w:rPr>
              <m:t>V</m:t>
            </m:r>
          </m:e>
          <m:sub>
            <m:r>
              <w:rPr>
                <w:rFonts w:ascii="Cambria Math" w:hAnsi="Cambria Math"/>
              </w:rPr>
              <m:t>VdW</m:t>
            </m:r>
          </m:sub>
        </m:sSub>
      </m:oMath>
      <w:r w:rsidR="00C632B4">
        <w:t xml:space="preserve"> - Van der Wa</w:t>
      </w:r>
      <w:r w:rsidR="008B4BD5">
        <w:t>a</w:t>
      </w:r>
      <w:r w:rsidR="00C632B4">
        <w:t xml:space="preserve">lsi vastasmõju energia; </w:t>
      </w:r>
      <m:oMath>
        <m:sSub>
          <m:sSubPr>
            <m:ctrlPr>
              <w:rPr>
                <w:rFonts w:ascii="Cambria Math" w:hAnsi="Cambria Math"/>
                <w:i/>
              </w:rPr>
            </m:ctrlPr>
          </m:sSubPr>
          <m:e>
            <m:r>
              <w:rPr>
                <w:rFonts w:ascii="Cambria Math" w:hAnsi="Cambria Math"/>
              </w:rPr>
              <m:t>V</m:t>
            </m:r>
          </m:e>
          <m:sub>
            <m:r>
              <w:rPr>
                <w:rFonts w:ascii="Cambria Math" w:hAnsi="Cambria Math"/>
              </w:rPr>
              <m:t>coul</m:t>
            </m:r>
          </m:sub>
        </m:sSub>
      </m:oMath>
      <w:r w:rsidR="00C632B4">
        <w:t xml:space="preserve"> - elektrostaatilise vastasmõju energia</w:t>
      </w:r>
      <w:r w:rsidR="005B2DC8">
        <w:t xml:space="preserve"> </w:t>
      </w:r>
      <w:sdt>
        <w:sdtPr>
          <w:id w:val="321319"/>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rsidR="00C632B4">
        <w:t xml:space="preserve">. </w:t>
      </w:r>
    </w:p>
    <w:p w:rsidR="00C632B4" w:rsidRPr="00433470" w:rsidRDefault="00C632B4" w:rsidP="007D722A">
      <w:pPr>
        <w:pStyle w:val="Heading3"/>
      </w:pPr>
      <w:bookmarkStart w:id="62" w:name="_Toc231118073"/>
      <w:bookmarkStart w:id="63" w:name="_Toc321348219"/>
      <w:bookmarkStart w:id="64" w:name="_Toc325224183"/>
      <w:r w:rsidRPr="00433470">
        <w:t>3.</w:t>
      </w:r>
      <w:r>
        <w:t>5</w:t>
      </w:r>
      <w:r w:rsidRPr="00433470">
        <w:t>.</w:t>
      </w:r>
      <w:r>
        <w:t xml:space="preserve">1. </w:t>
      </w:r>
      <w:r w:rsidRPr="00433470">
        <w:t xml:space="preserve"> Aatomite</w:t>
      </w:r>
      <w:r>
        <w:t xml:space="preserve"> osalaengud</w:t>
      </w:r>
      <w:bookmarkEnd w:id="62"/>
      <w:bookmarkEnd w:id="63"/>
      <w:bookmarkEnd w:id="64"/>
    </w:p>
    <w:p w:rsidR="00C632B4" w:rsidRDefault="00C632B4" w:rsidP="007D722A">
      <w:r>
        <w:t>Tabelis 2 on summeeritud süsteemides kasutatavate aatomite osalaengud ja massid</w:t>
      </w:r>
      <w:r w:rsidR="00CD3671">
        <w:t xml:space="preserve"> </w:t>
      </w:r>
      <w:sdt>
        <w:sdtPr>
          <w:id w:val="321320"/>
          <w:citation/>
        </w:sdtPr>
        <w:sdtContent>
          <w:fldSimple w:instr=" CITATION a \l 1061 ">
            <w:r w:rsidR="005B76C8">
              <w:rPr>
                <w:noProof/>
              </w:rPr>
              <w:t>[</w:t>
            </w:r>
            <w:hyperlink w:anchor="a" w:history="1">
              <w:r w:rsidR="005B76C8" w:rsidRPr="005B76C8">
                <w:rPr>
                  <w:rStyle w:val="Heading2Char"/>
                  <w:rFonts w:eastAsiaTheme="minorHAnsi" w:cstheme="minorBidi"/>
                  <w:noProof/>
                  <w:sz w:val="24"/>
                  <w:szCs w:val="22"/>
                </w:rPr>
                <w:t>46</w:t>
              </w:r>
            </w:hyperlink>
            <w:r w:rsidR="005B76C8">
              <w:rPr>
                <w:noProof/>
              </w:rPr>
              <w:t>]</w:t>
            </w:r>
          </w:fldSimple>
        </w:sdtContent>
      </w:sdt>
      <w:r>
        <w:t>.</w:t>
      </w:r>
    </w:p>
    <w:tbl>
      <w:tblPr>
        <w:tblW w:w="0" w:type="auto"/>
        <w:jc w:val="center"/>
        <w:tblInd w:w="-688" w:type="dxa"/>
        <w:tblLook w:val="0000"/>
      </w:tblPr>
      <w:tblGrid>
        <w:gridCol w:w="1091"/>
        <w:gridCol w:w="1050"/>
        <w:gridCol w:w="1007"/>
        <w:gridCol w:w="236"/>
        <w:gridCol w:w="2505"/>
        <w:gridCol w:w="661"/>
      </w:tblGrid>
      <w:tr w:rsidR="00F111A1" w:rsidRPr="00903311" w:rsidTr="00350D02">
        <w:trPr>
          <w:trHeight w:val="58"/>
          <w:jc w:val="center"/>
        </w:trPr>
        <w:tc>
          <w:tcPr>
            <w:tcW w:w="1091" w:type="dxa"/>
            <w:tcBorders>
              <w:top w:val="single" w:sz="4" w:space="0" w:color="auto"/>
              <w:bottom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Aatomi tüüp</w:t>
            </w:r>
          </w:p>
        </w:tc>
        <w:tc>
          <w:tcPr>
            <w:tcW w:w="1050" w:type="dxa"/>
            <w:tcBorders>
              <w:top w:val="single" w:sz="4" w:space="0" w:color="auto"/>
              <w:bottom w:val="single" w:sz="4" w:space="0" w:color="auto"/>
            </w:tcBorders>
          </w:tcPr>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Mass</w:t>
            </w:r>
          </w:p>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amü</w:t>
            </w:r>
          </w:p>
        </w:tc>
        <w:tc>
          <w:tcPr>
            <w:tcW w:w="1007" w:type="dxa"/>
            <w:tcBorders>
              <w:top w:val="single" w:sz="4" w:space="0" w:color="auto"/>
              <w:bottom w:val="single" w:sz="4" w:space="0" w:color="auto"/>
            </w:tcBorders>
          </w:tcPr>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Laeng</w:t>
            </w:r>
          </w:p>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236" w:type="dxa"/>
            <w:tcBorders>
              <w:top w:val="single" w:sz="4" w:space="0" w:color="auto"/>
              <w:bottom w:val="single" w:sz="4" w:space="0" w:color="auto"/>
            </w:tcBorders>
          </w:tcPr>
          <w:p w:rsidR="00C632B4" w:rsidRPr="00DD7CBC" w:rsidRDefault="00C632B4" w:rsidP="00F111A1">
            <w:pPr>
              <w:pStyle w:val="NoSpacing"/>
              <w:spacing w:line="276" w:lineRule="auto"/>
              <w:jc w:val="right"/>
              <w:rPr>
                <w:rFonts w:cs="Times New Roman"/>
                <w:sz w:val="20"/>
                <w:szCs w:val="20"/>
              </w:rPr>
            </w:pPr>
          </w:p>
        </w:tc>
        <w:tc>
          <w:tcPr>
            <w:tcW w:w="0" w:type="auto"/>
            <w:tcBorders>
              <w:top w:val="single" w:sz="4" w:space="0" w:color="auto"/>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Märkused</w:t>
            </w:r>
          </w:p>
        </w:tc>
        <w:tc>
          <w:tcPr>
            <w:tcW w:w="0" w:type="auto"/>
            <w:tcBorders>
              <w:top w:val="single" w:sz="4" w:space="0" w:color="auto"/>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Viide</w:t>
            </w:r>
          </w:p>
        </w:tc>
      </w:tr>
      <w:tr w:rsidR="00F111A1" w:rsidRPr="00903311" w:rsidTr="00350D02">
        <w:trPr>
          <w:trHeight w:val="58"/>
          <w:jc w:val="center"/>
        </w:trPr>
        <w:tc>
          <w:tcPr>
            <w:tcW w:w="1091" w:type="dxa"/>
            <w:tcBorders>
              <w:top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1050" w:type="dxa"/>
            <w:tcBorders>
              <w:top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Borders>
              <w:top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-0.1620</w:t>
            </w:r>
          </w:p>
        </w:tc>
        <w:tc>
          <w:tcPr>
            <w:tcW w:w="236" w:type="dxa"/>
            <w:tcBorders>
              <w:top w:val="single" w:sz="4" w:space="0" w:color="auto"/>
            </w:tcBorders>
          </w:tcPr>
          <w:p w:rsidR="00C632B4" w:rsidRPr="00DD7CBC" w:rsidRDefault="00C632B4" w:rsidP="00110F22">
            <w:pPr>
              <w:pStyle w:val="NoSpacing"/>
              <w:spacing w:line="276" w:lineRule="auto"/>
              <w:rPr>
                <w:rFonts w:cs="Times New Roman"/>
                <w:sz w:val="20"/>
                <w:szCs w:val="20"/>
              </w:rPr>
            </w:pPr>
          </w:p>
        </w:tc>
        <w:tc>
          <w:tcPr>
            <w:tcW w:w="0" w:type="auto"/>
            <w:tcBorders>
              <w:top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süsinik</w:t>
            </w:r>
          </w:p>
        </w:tc>
        <w:tc>
          <w:tcPr>
            <w:tcW w:w="0" w:type="auto"/>
            <w:tcBorders>
              <w:top w:val="single" w:sz="4" w:space="0" w:color="auto"/>
            </w:tcBorders>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13"/>
                <w:citation/>
              </w:sdtPr>
              <w:sdtContent>
                <w:r>
                  <w:rPr>
                    <w:rFonts w:cs="Times New Roman"/>
                    <w:sz w:val="20"/>
                    <w:szCs w:val="20"/>
                  </w:rPr>
                  <w:fldChar w:fldCharType="begin"/>
                </w:r>
                <w:r w:rsidR="00B75B3F">
                  <w:rPr>
                    <w:rFonts w:cs="Times New Roman"/>
                    <w:sz w:val="20"/>
                    <w:szCs w:val="20"/>
                  </w:rPr>
                  <w:instrText xml:space="preserve"> CITATION d \l 1061  </w:instrText>
                </w:r>
                <w:r>
                  <w:rPr>
                    <w:rFonts w:cs="Times New Roman"/>
                    <w:sz w:val="20"/>
                    <w:szCs w:val="20"/>
                  </w:rPr>
                  <w:fldChar w:fldCharType="separate"/>
                </w:r>
                <w:r w:rsidR="005B76C8" w:rsidRPr="005B76C8">
                  <w:rPr>
                    <w:rFonts w:cs="Times New Roman"/>
                    <w:noProof/>
                    <w:sz w:val="20"/>
                    <w:szCs w:val="20"/>
                  </w:rPr>
                  <w:t>[</w:t>
                </w:r>
                <w:hyperlink w:anchor="d" w:history="1">
                  <w:r w:rsidR="005B76C8" w:rsidRPr="005B76C8">
                    <w:rPr>
                      <w:rStyle w:val="Heading2Char"/>
                      <w:rFonts w:eastAsiaTheme="minorEastAsia" w:cs="Times New Roman"/>
                      <w:noProof/>
                      <w:sz w:val="20"/>
                      <w:szCs w:val="20"/>
                    </w:rPr>
                    <w:t>47</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cPE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PE-d ja PEO-d siduv süsinik</w:t>
            </w:r>
          </w:p>
        </w:tc>
        <w:tc>
          <w:tcPr>
            <w:tcW w:w="0" w:type="auto"/>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14"/>
                <w:citation/>
              </w:sdtPr>
              <w:sdtContent>
                <w:r>
                  <w:rPr>
                    <w:rFonts w:cs="Times New Roman"/>
                    <w:sz w:val="20"/>
                    <w:szCs w:val="20"/>
                  </w:rPr>
                  <w:fldChar w:fldCharType="begin"/>
                </w:r>
                <w:r w:rsidR="00B75B3F">
                  <w:rPr>
                    <w:rFonts w:cs="Times New Roman"/>
                    <w:sz w:val="20"/>
                    <w:szCs w:val="20"/>
                  </w:rPr>
                  <w:instrText xml:space="preserve"> CITATION d \l 1061  </w:instrText>
                </w:r>
                <w:r>
                  <w:rPr>
                    <w:rFonts w:cs="Times New Roman"/>
                    <w:sz w:val="20"/>
                    <w:szCs w:val="20"/>
                  </w:rPr>
                  <w:fldChar w:fldCharType="separate"/>
                </w:r>
                <w:r w:rsidR="005B76C8" w:rsidRPr="005B76C8">
                  <w:rPr>
                    <w:rFonts w:cs="Times New Roman"/>
                    <w:noProof/>
                    <w:sz w:val="20"/>
                    <w:szCs w:val="20"/>
                  </w:rPr>
                  <w:t>[</w:t>
                </w:r>
                <w:hyperlink w:anchor="d" w:history="1">
                  <w:r w:rsidR="005B76C8" w:rsidRPr="005B76C8">
                    <w:rPr>
                      <w:rStyle w:val="Heading2Char"/>
                      <w:rFonts w:eastAsiaTheme="minorEastAsia" w:cs="Times New Roman"/>
                      <w:noProof/>
                      <w:sz w:val="20"/>
                      <w:szCs w:val="20"/>
                    </w:rPr>
                    <w:t>47</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mPE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-0.1620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metüülrühma süsinik</w:t>
            </w:r>
          </w:p>
        </w:tc>
        <w:tc>
          <w:tcPr>
            <w:tcW w:w="0" w:type="auto"/>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15"/>
                <w:citation/>
              </w:sdtPr>
              <w:sdtContent>
                <w:r>
                  <w:rPr>
                    <w:rFonts w:cs="Times New Roman"/>
                    <w:sz w:val="20"/>
                    <w:szCs w:val="20"/>
                  </w:rPr>
                  <w:fldChar w:fldCharType="begin"/>
                </w:r>
                <w:r w:rsidR="00B75B3F">
                  <w:rPr>
                    <w:rFonts w:cs="Times New Roman"/>
                    <w:sz w:val="20"/>
                    <w:szCs w:val="20"/>
                  </w:rPr>
                  <w:instrText xml:space="preserve"> CITATION d \l 1061  </w:instrText>
                </w:r>
                <w:r>
                  <w:rPr>
                    <w:rFonts w:cs="Times New Roman"/>
                    <w:sz w:val="20"/>
                    <w:szCs w:val="20"/>
                  </w:rPr>
                  <w:fldChar w:fldCharType="separate"/>
                </w:r>
                <w:r w:rsidR="005B76C8" w:rsidRPr="005B76C8">
                  <w:rPr>
                    <w:rFonts w:cs="Times New Roman"/>
                    <w:noProof/>
                    <w:sz w:val="20"/>
                    <w:szCs w:val="20"/>
                  </w:rPr>
                  <w:t>[</w:t>
                </w:r>
                <w:hyperlink w:anchor="d" w:history="1">
                  <w:r w:rsidR="005B76C8" w:rsidRPr="005B76C8">
                    <w:rPr>
                      <w:rStyle w:val="Heading2Char"/>
                      <w:rFonts w:eastAsiaTheme="minorEastAsia" w:cs="Times New Roman"/>
                      <w:noProof/>
                      <w:sz w:val="20"/>
                      <w:szCs w:val="20"/>
                    </w:rPr>
                    <w:t>47</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vesinik</w:t>
            </w:r>
          </w:p>
        </w:tc>
        <w:tc>
          <w:tcPr>
            <w:tcW w:w="0" w:type="auto"/>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16"/>
                <w:citation/>
              </w:sdtPr>
              <w:sdtContent>
                <w:r>
                  <w:rPr>
                    <w:rFonts w:cs="Times New Roman"/>
                    <w:sz w:val="20"/>
                    <w:szCs w:val="20"/>
                  </w:rPr>
                  <w:fldChar w:fldCharType="begin"/>
                </w:r>
                <w:r w:rsidR="00B75B3F">
                  <w:rPr>
                    <w:rFonts w:cs="Times New Roman"/>
                    <w:sz w:val="20"/>
                    <w:szCs w:val="20"/>
                  </w:rPr>
                  <w:instrText xml:space="preserve"> CITATION d \l 1061  </w:instrText>
                </w:r>
                <w:r>
                  <w:rPr>
                    <w:rFonts w:cs="Times New Roman"/>
                    <w:sz w:val="20"/>
                    <w:szCs w:val="20"/>
                  </w:rPr>
                  <w:fldChar w:fldCharType="separate"/>
                </w:r>
                <w:r w:rsidR="005B76C8" w:rsidRPr="005B76C8">
                  <w:rPr>
                    <w:rFonts w:cs="Times New Roman"/>
                    <w:noProof/>
                    <w:sz w:val="20"/>
                    <w:szCs w:val="20"/>
                  </w:rPr>
                  <w:t>[</w:t>
                </w:r>
                <w:hyperlink w:anchor="d" w:history="1">
                  <w:r w:rsidR="005B76C8" w:rsidRPr="005B76C8">
                    <w:rPr>
                      <w:rStyle w:val="Heading2Char"/>
                      <w:rFonts w:eastAsiaTheme="minorEastAsia" w:cs="Times New Roman"/>
                      <w:noProof/>
                      <w:sz w:val="20"/>
                      <w:szCs w:val="20"/>
                    </w:rPr>
                    <w:t>47</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mPE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0.0540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metüülrühma vesinik</w:t>
            </w:r>
          </w:p>
        </w:tc>
        <w:tc>
          <w:tcPr>
            <w:tcW w:w="0" w:type="auto"/>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17"/>
                <w:citation/>
              </w:sdtPr>
              <w:sdtContent>
                <w:r>
                  <w:rPr>
                    <w:rFonts w:cs="Times New Roman"/>
                    <w:sz w:val="20"/>
                    <w:szCs w:val="20"/>
                  </w:rPr>
                  <w:fldChar w:fldCharType="begin"/>
                </w:r>
                <w:r w:rsidR="00B75B3F">
                  <w:rPr>
                    <w:rFonts w:cs="Times New Roman"/>
                    <w:sz w:val="20"/>
                    <w:szCs w:val="20"/>
                  </w:rPr>
                  <w:instrText xml:space="preserve"> CITATION d \l 1061  </w:instrText>
                </w:r>
                <w:r>
                  <w:rPr>
                    <w:rFonts w:cs="Times New Roman"/>
                    <w:sz w:val="20"/>
                    <w:szCs w:val="20"/>
                  </w:rPr>
                  <w:fldChar w:fldCharType="separate"/>
                </w:r>
                <w:r w:rsidR="005B76C8" w:rsidRPr="005B76C8">
                  <w:rPr>
                    <w:rFonts w:cs="Times New Roman"/>
                    <w:noProof/>
                    <w:sz w:val="20"/>
                    <w:szCs w:val="20"/>
                  </w:rPr>
                  <w:t>[</w:t>
                </w:r>
                <w:hyperlink w:anchor="d" w:history="1">
                  <w:r w:rsidR="005B76C8" w:rsidRPr="005B76C8">
                    <w:rPr>
                      <w:rStyle w:val="Heading2Char"/>
                      <w:rFonts w:eastAsiaTheme="minorEastAsia" w:cs="Times New Roman"/>
                      <w:noProof/>
                      <w:sz w:val="20"/>
                      <w:szCs w:val="20"/>
                    </w:rPr>
                    <w:t>47</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cPE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Siduva süsiniku vesinik</w:t>
            </w:r>
          </w:p>
        </w:tc>
        <w:tc>
          <w:tcPr>
            <w:tcW w:w="0" w:type="auto"/>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18"/>
                <w:citation/>
              </w:sdtPr>
              <w:sdtContent>
                <w:r>
                  <w:rPr>
                    <w:rFonts w:cs="Times New Roman"/>
                    <w:sz w:val="20"/>
                    <w:szCs w:val="20"/>
                  </w:rPr>
                  <w:fldChar w:fldCharType="begin"/>
                </w:r>
                <w:r w:rsidR="00B75B3F">
                  <w:rPr>
                    <w:rFonts w:cs="Times New Roman"/>
                    <w:sz w:val="20"/>
                    <w:szCs w:val="20"/>
                  </w:rPr>
                  <w:instrText xml:space="preserve"> CITATION d \l 1061  </w:instrText>
                </w:r>
                <w:r>
                  <w:rPr>
                    <w:rFonts w:cs="Times New Roman"/>
                    <w:sz w:val="20"/>
                    <w:szCs w:val="20"/>
                  </w:rPr>
                  <w:fldChar w:fldCharType="separate"/>
                </w:r>
                <w:r w:rsidR="005B76C8" w:rsidRPr="005B76C8">
                  <w:rPr>
                    <w:rFonts w:cs="Times New Roman"/>
                    <w:noProof/>
                    <w:sz w:val="20"/>
                    <w:szCs w:val="20"/>
                  </w:rPr>
                  <w:t>[</w:t>
                </w:r>
                <w:hyperlink w:anchor="d" w:history="1">
                  <w:r w:rsidR="005B76C8" w:rsidRPr="005B76C8">
                    <w:rPr>
                      <w:rStyle w:val="Heading2Char"/>
                      <w:rFonts w:eastAsiaTheme="minorEastAsia" w:cs="Times New Roman"/>
                      <w:noProof/>
                      <w:sz w:val="20"/>
                      <w:szCs w:val="20"/>
                    </w:rPr>
                    <w:t>47</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0.1030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süsinik</w:t>
            </w:r>
          </w:p>
        </w:tc>
        <w:tc>
          <w:tcPr>
            <w:tcW w:w="0" w:type="auto"/>
          </w:tcPr>
          <w:p w:rsidR="00C632B4" w:rsidRPr="00DD7CBC" w:rsidRDefault="00B23348" w:rsidP="00110F22">
            <w:pPr>
              <w:pStyle w:val="NoSpacing"/>
              <w:spacing w:line="276" w:lineRule="auto"/>
              <w:rPr>
                <w:rFonts w:cs="Times New Roman"/>
                <w:sz w:val="20"/>
                <w:szCs w:val="20"/>
              </w:rPr>
            </w:pPr>
            <w:sdt>
              <w:sdtPr>
                <w:rPr>
                  <w:rFonts w:cs="Times New Roman"/>
                  <w:sz w:val="20"/>
                  <w:szCs w:val="20"/>
                </w:rPr>
                <w:id w:val="117172199"/>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mPO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0.1032</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metüülrühma süsinik</w:t>
            </w:r>
          </w:p>
        </w:tc>
        <w:tc>
          <w:tcPr>
            <w:tcW w:w="0" w:type="auto"/>
          </w:tcPr>
          <w:p w:rsidR="00C632B4" w:rsidRPr="00DD7CBC" w:rsidRDefault="00B23348" w:rsidP="00110F22">
            <w:pPr>
              <w:pStyle w:val="NoSpacing"/>
              <w:spacing w:line="276" w:lineRule="auto"/>
              <w:rPr>
                <w:rFonts w:cs="Times New Roman"/>
                <w:sz w:val="20"/>
                <w:szCs w:val="20"/>
              </w:rPr>
            </w:pPr>
            <w:sdt>
              <w:sdtPr>
                <w:rPr>
                  <w:rFonts w:cs="Times New Roman"/>
                  <w:sz w:val="20"/>
                  <w:szCs w:val="20"/>
                </w:rPr>
                <w:id w:val="3734120"/>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15.99940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-0.3480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hapnik</w:t>
            </w:r>
          </w:p>
        </w:tc>
        <w:tc>
          <w:tcPr>
            <w:tcW w:w="0" w:type="auto"/>
          </w:tcPr>
          <w:p w:rsidR="00C632B4" w:rsidRPr="00DD7CBC" w:rsidRDefault="00B23348" w:rsidP="00110F22">
            <w:pPr>
              <w:pStyle w:val="NoSpacing"/>
              <w:spacing w:line="276" w:lineRule="auto"/>
              <w:rPr>
                <w:rFonts w:cs="Times New Roman"/>
                <w:sz w:val="20"/>
                <w:szCs w:val="20"/>
              </w:rPr>
            </w:pPr>
            <w:sdt>
              <w:sdtPr>
                <w:rPr>
                  <w:rFonts w:cs="Times New Roman"/>
                  <w:sz w:val="20"/>
                  <w:szCs w:val="20"/>
                </w:rPr>
                <w:id w:val="3734121"/>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0.0355</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vesinik</w:t>
            </w:r>
          </w:p>
        </w:tc>
        <w:tc>
          <w:tcPr>
            <w:tcW w:w="0" w:type="auto"/>
          </w:tcPr>
          <w:p w:rsidR="00C632B4" w:rsidRPr="00DD7CBC" w:rsidRDefault="00B23348" w:rsidP="00110F22">
            <w:pPr>
              <w:pStyle w:val="NoSpacing"/>
              <w:spacing w:line="276" w:lineRule="auto"/>
              <w:rPr>
                <w:rFonts w:cs="Times New Roman"/>
                <w:sz w:val="20"/>
                <w:szCs w:val="20"/>
              </w:rPr>
            </w:pPr>
            <w:sdt>
              <w:sdtPr>
                <w:rPr>
                  <w:rFonts w:cs="Times New Roman"/>
                  <w:sz w:val="20"/>
                  <w:szCs w:val="20"/>
                </w:rPr>
                <w:id w:val="3734122"/>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mPEO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0.0236</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metüülrühma vesinik</w:t>
            </w:r>
          </w:p>
        </w:tc>
        <w:tc>
          <w:tcPr>
            <w:tcW w:w="0" w:type="auto"/>
          </w:tcPr>
          <w:p w:rsidR="00C632B4" w:rsidRPr="00DD7CBC" w:rsidRDefault="00B23348" w:rsidP="00110F22">
            <w:pPr>
              <w:pStyle w:val="NoSpacing"/>
              <w:spacing w:line="276" w:lineRule="auto"/>
              <w:rPr>
                <w:rFonts w:cs="Times New Roman"/>
                <w:sz w:val="20"/>
                <w:szCs w:val="20"/>
              </w:rPr>
            </w:pPr>
            <w:sdt>
              <w:sdtPr>
                <w:rPr>
                  <w:rFonts w:cs="Times New Roman"/>
                  <w:sz w:val="20"/>
                  <w:szCs w:val="20"/>
                </w:rPr>
                <w:id w:val="3734123"/>
                <w:citation/>
              </w:sdtPr>
              <w:sdtContent>
                <w:r w:rsidRPr="00DD7CBC">
                  <w:rPr>
                    <w:rFonts w:cs="Times New Roman"/>
                    <w:sz w:val="20"/>
                    <w:szCs w:val="20"/>
                  </w:rPr>
                  <w:fldChar w:fldCharType="begin"/>
                </w:r>
                <w:r w:rsidR="00C632B4" w:rsidRPr="00DD7CBC">
                  <w:rPr>
                    <w:rFonts w:cs="Times New Roman"/>
                    <w:sz w:val="20"/>
                    <w:szCs w:val="20"/>
                  </w:rPr>
                  <w:instrText xml:space="preserve"> CITATION c \l 1061 </w:instrText>
                </w:r>
                <w:r w:rsidRPr="00DD7CBC">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Li</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6.94100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1.0000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Liitiumioon</w:t>
            </w:r>
          </w:p>
        </w:tc>
        <w:tc>
          <w:tcPr>
            <w:tcW w:w="0" w:type="auto"/>
          </w:tcPr>
          <w:p w:rsidR="00C632B4" w:rsidRPr="00DD7CBC" w:rsidRDefault="00B23348" w:rsidP="00110F22">
            <w:pPr>
              <w:pStyle w:val="NoSpacing"/>
              <w:spacing w:line="276" w:lineRule="auto"/>
              <w:rPr>
                <w:rFonts w:cs="Times New Roman"/>
                <w:sz w:val="20"/>
                <w:szCs w:val="20"/>
              </w:rPr>
            </w:pPr>
            <w:sdt>
              <w:sdtPr>
                <w:rPr>
                  <w:rFonts w:cs="Times New Roman"/>
                  <w:sz w:val="20"/>
                  <w:szCs w:val="20"/>
                </w:rPr>
                <w:id w:val="191663366"/>
                <w:citation/>
              </w:sdtPr>
              <w:sdtContent>
                <w:r w:rsidRPr="00230F34">
                  <w:rPr>
                    <w:rFonts w:cs="Times New Roman"/>
                    <w:sz w:val="20"/>
                    <w:szCs w:val="20"/>
                  </w:rPr>
                  <w:fldChar w:fldCharType="begin"/>
                </w:r>
                <w:r w:rsidR="00C632B4" w:rsidRPr="00230F34">
                  <w:rPr>
                    <w:rFonts w:cs="Times New Roman"/>
                    <w:sz w:val="20"/>
                    <w:szCs w:val="20"/>
                  </w:rPr>
                  <w:instrText xml:space="preserve"> CITATION AD \l 1061 </w:instrText>
                </w:r>
                <w:r w:rsidRPr="00230F34">
                  <w:rPr>
                    <w:rFonts w:cs="Times New Roman"/>
                    <w:sz w:val="20"/>
                    <w:szCs w:val="20"/>
                  </w:rPr>
                  <w:fldChar w:fldCharType="separate"/>
                </w:r>
                <w:r w:rsidR="005B76C8" w:rsidRPr="005B76C8">
                  <w:rPr>
                    <w:rFonts w:cs="Times New Roman"/>
                    <w:noProof/>
                    <w:sz w:val="20"/>
                    <w:szCs w:val="20"/>
                  </w:rPr>
                  <w:t>[</w:t>
                </w:r>
                <w:hyperlink w:anchor="AD" w:history="1">
                  <w:r w:rsidR="005B76C8" w:rsidRPr="005B76C8">
                    <w:rPr>
                      <w:rStyle w:val="Heading2Char"/>
                      <w:rFonts w:eastAsiaTheme="minorEastAsia" w:cs="Times New Roman"/>
                      <w:noProof/>
                      <w:sz w:val="20"/>
                      <w:szCs w:val="20"/>
                    </w:rPr>
                    <w:t>36</w:t>
                  </w:r>
                </w:hyperlink>
                <w:r w:rsidR="005B76C8" w:rsidRPr="005B76C8">
                  <w:rPr>
                    <w:rFonts w:cs="Times New Roman"/>
                    <w:noProof/>
                    <w:sz w:val="20"/>
                    <w:szCs w:val="20"/>
                  </w:rPr>
                  <w:t>]</w:t>
                </w:r>
                <w:r w:rsidRPr="00230F34">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P</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30.97380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1.4000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Fosfor</w:t>
            </w:r>
          </w:p>
        </w:tc>
        <w:tc>
          <w:tcPr>
            <w:tcW w:w="0" w:type="auto"/>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24"/>
                <w:citation/>
              </w:sdtPr>
              <w:sdtContent>
                <w:r>
                  <w:rPr>
                    <w:rFonts w:cs="Times New Roman"/>
                    <w:sz w:val="20"/>
                    <w:szCs w:val="20"/>
                  </w:rPr>
                  <w:fldChar w:fldCharType="begin"/>
                </w:r>
                <w:r w:rsidR="00B75B3F">
                  <w:rPr>
                    <w:rFonts w:cs="Times New Roman"/>
                    <w:sz w:val="20"/>
                    <w:szCs w:val="20"/>
                  </w:rPr>
                  <w:instrText xml:space="preserve"> CITATION e \l 1061  </w:instrText>
                </w:r>
                <w:r>
                  <w:rPr>
                    <w:rFonts w:cs="Times New Roman"/>
                    <w:sz w:val="20"/>
                    <w:szCs w:val="20"/>
                  </w:rPr>
                  <w:fldChar w:fldCharType="separate"/>
                </w:r>
                <w:r w:rsidR="005B76C8" w:rsidRPr="005B76C8">
                  <w:rPr>
                    <w:rFonts w:cs="Times New Roman"/>
                    <w:noProof/>
                    <w:sz w:val="20"/>
                    <w:szCs w:val="20"/>
                  </w:rPr>
                  <w:t>[</w:t>
                </w:r>
                <w:hyperlink w:anchor="e" w:history="1">
                  <w:r w:rsidR="005B76C8" w:rsidRPr="005B76C8">
                    <w:rPr>
                      <w:rStyle w:val="Heading2Char"/>
                      <w:rFonts w:eastAsiaTheme="minorEastAsia" w:cs="Times New Roman"/>
                      <w:noProof/>
                      <w:sz w:val="20"/>
                      <w:szCs w:val="20"/>
                    </w:rPr>
                    <w:t>49</w:t>
                  </w:r>
                </w:hyperlink>
                <w:r w:rsidR="005B76C8" w:rsidRPr="005B76C8">
                  <w:rPr>
                    <w:rFonts w:cs="Times New Roman"/>
                    <w:noProof/>
                    <w:sz w:val="20"/>
                    <w:szCs w:val="20"/>
                  </w:rPr>
                  <w:t>]</w:t>
                </w:r>
                <w:r>
                  <w:rPr>
                    <w:rFonts w:cs="Times New Roman"/>
                    <w:sz w:val="20"/>
                    <w:szCs w:val="20"/>
                  </w:rPr>
                  <w:fldChar w:fldCharType="end"/>
                </w:r>
              </w:sdtContent>
            </w:sdt>
          </w:p>
        </w:tc>
      </w:tr>
      <w:tr w:rsidR="00F111A1" w:rsidRPr="00903311" w:rsidTr="00350D02">
        <w:trPr>
          <w:trHeight w:val="58"/>
          <w:jc w:val="center"/>
        </w:trPr>
        <w:tc>
          <w:tcPr>
            <w:tcW w:w="1091" w:type="dxa"/>
            <w:tcBorders>
              <w:bottom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F</w:t>
            </w:r>
          </w:p>
        </w:tc>
        <w:tc>
          <w:tcPr>
            <w:tcW w:w="1050" w:type="dxa"/>
            <w:tcBorders>
              <w:bottom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18.99840</w:t>
            </w:r>
          </w:p>
        </w:tc>
        <w:tc>
          <w:tcPr>
            <w:tcW w:w="1007" w:type="dxa"/>
            <w:tcBorders>
              <w:bottom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-0.4000</w:t>
            </w:r>
          </w:p>
        </w:tc>
        <w:tc>
          <w:tcPr>
            <w:tcW w:w="236" w:type="dxa"/>
            <w:tcBorders>
              <w:bottom w:val="single" w:sz="4" w:space="0" w:color="auto"/>
            </w:tcBorders>
          </w:tcPr>
          <w:p w:rsidR="00C632B4" w:rsidRPr="00DD7CBC" w:rsidRDefault="00C632B4" w:rsidP="00110F22">
            <w:pPr>
              <w:pStyle w:val="NoSpacing"/>
              <w:spacing w:line="276" w:lineRule="auto"/>
              <w:rPr>
                <w:rFonts w:cs="Times New Roman"/>
                <w:sz w:val="20"/>
                <w:szCs w:val="20"/>
              </w:rPr>
            </w:pPr>
          </w:p>
        </w:tc>
        <w:tc>
          <w:tcPr>
            <w:tcW w:w="0" w:type="auto"/>
            <w:tcBorders>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Floor</w:t>
            </w:r>
          </w:p>
        </w:tc>
        <w:tc>
          <w:tcPr>
            <w:tcW w:w="0" w:type="auto"/>
            <w:tcBorders>
              <w:bottom w:val="single" w:sz="4" w:space="0" w:color="auto"/>
            </w:tcBorders>
          </w:tcPr>
          <w:p w:rsidR="00C632B4" w:rsidRPr="00DD7CBC" w:rsidRDefault="00B23348" w:rsidP="00B75B3F">
            <w:pPr>
              <w:pStyle w:val="NoSpacing"/>
              <w:spacing w:line="276" w:lineRule="auto"/>
              <w:rPr>
                <w:rFonts w:cs="Times New Roman"/>
                <w:sz w:val="20"/>
                <w:szCs w:val="20"/>
              </w:rPr>
            </w:pPr>
            <w:sdt>
              <w:sdtPr>
                <w:rPr>
                  <w:rFonts w:cs="Times New Roman"/>
                  <w:sz w:val="20"/>
                  <w:szCs w:val="20"/>
                </w:rPr>
                <w:id w:val="3734125"/>
                <w:citation/>
              </w:sdtPr>
              <w:sdtContent>
                <w:r>
                  <w:rPr>
                    <w:rFonts w:cs="Times New Roman"/>
                    <w:sz w:val="20"/>
                    <w:szCs w:val="20"/>
                  </w:rPr>
                  <w:fldChar w:fldCharType="begin"/>
                </w:r>
                <w:r w:rsidR="00B75B3F">
                  <w:rPr>
                    <w:rFonts w:cs="Times New Roman"/>
                    <w:sz w:val="20"/>
                    <w:szCs w:val="20"/>
                  </w:rPr>
                  <w:instrText xml:space="preserve"> CITATION e \l 1061  </w:instrText>
                </w:r>
                <w:r>
                  <w:rPr>
                    <w:rFonts w:cs="Times New Roman"/>
                    <w:sz w:val="20"/>
                    <w:szCs w:val="20"/>
                  </w:rPr>
                  <w:fldChar w:fldCharType="separate"/>
                </w:r>
                <w:r w:rsidR="005B76C8" w:rsidRPr="005B76C8">
                  <w:rPr>
                    <w:rFonts w:cs="Times New Roman"/>
                    <w:noProof/>
                    <w:sz w:val="20"/>
                    <w:szCs w:val="20"/>
                  </w:rPr>
                  <w:t>[</w:t>
                </w:r>
                <w:hyperlink w:anchor="e" w:history="1">
                  <w:r w:rsidR="005B76C8" w:rsidRPr="005B76C8">
                    <w:rPr>
                      <w:rStyle w:val="Heading2Char"/>
                      <w:rFonts w:eastAsiaTheme="minorEastAsia" w:cs="Times New Roman"/>
                      <w:noProof/>
                      <w:sz w:val="20"/>
                      <w:szCs w:val="20"/>
                    </w:rPr>
                    <w:t>49</w:t>
                  </w:r>
                </w:hyperlink>
                <w:r w:rsidR="005B76C8" w:rsidRPr="005B76C8">
                  <w:rPr>
                    <w:rFonts w:cs="Times New Roman"/>
                    <w:noProof/>
                    <w:sz w:val="20"/>
                    <w:szCs w:val="20"/>
                  </w:rPr>
                  <w:t>]</w:t>
                </w:r>
                <w:r>
                  <w:rPr>
                    <w:rFonts w:cs="Times New Roman"/>
                    <w:sz w:val="20"/>
                    <w:szCs w:val="20"/>
                  </w:rPr>
                  <w:fldChar w:fldCharType="end"/>
                </w:r>
              </w:sdtContent>
            </w:sdt>
          </w:p>
        </w:tc>
      </w:tr>
    </w:tbl>
    <w:p w:rsidR="0048027B" w:rsidRDefault="00C632B4" w:rsidP="00C2123F">
      <w:pPr>
        <w:jc w:val="center"/>
      </w:pPr>
      <w:r w:rsidRPr="000B41E1">
        <w:rPr>
          <w:b/>
        </w:rPr>
        <w:t xml:space="preserve">Tabel </w:t>
      </w:r>
      <w:r>
        <w:rPr>
          <w:b/>
        </w:rPr>
        <w:t>2</w:t>
      </w:r>
      <w:r w:rsidRPr="000B41E1">
        <w:rPr>
          <w:b/>
        </w:rPr>
        <w:t>:</w:t>
      </w:r>
      <w:r>
        <w:t xml:space="preserve"> Kasutatud aatomite massid ja laengud.</w:t>
      </w:r>
    </w:p>
    <w:p w:rsidR="00E91035" w:rsidRDefault="00E91035" w:rsidP="00C2123F">
      <w:pPr>
        <w:jc w:val="center"/>
      </w:pPr>
    </w:p>
    <w:p w:rsidR="00C632B4" w:rsidRDefault="00C632B4" w:rsidP="007D722A">
      <w:pPr>
        <w:pStyle w:val="Heading3"/>
      </w:pPr>
      <w:bookmarkStart w:id="65" w:name="_Toc231118074"/>
      <w:bookmarkStart w:id="66" w:name="_Toc321348220"/>
      <w:bookmarkStart w:id="67" w:name="_Toc325224184"/>
      <w:r w:rsidRPr="00433470">
        <w:t>3.</w:t>
      </w:r>
      <w:r>
        <w:t>5</w:t>
      </w:r>
      <w:r w:rsidRPr="00433470">
        <w:t>.</w:t>
      </w:r>
      <w:r>
        <w:t xml:space="preserve">2. </w:t>
      </w:r>
      <w:r w:rsidRPr="00433470">
        <w:t xml:space="preserve"> </w:t>
      </w:r>
      <w:r>
        <w:t>Sidemepotentsiaalid</w:t>
      </w:r>
      <w:bookmarkEnd w:id="65"/>
      <w:bookmarkEnd w:id="66"/>
      <w:bookmarkEnd w:id="67"/>
    </w:p>
    <w:p w:rsidR="0048027B" w:rsidRPr="00DD7CBC" w:rsidRDefault="00C632B4" w:rsidP="007D722A">
      <w:r>
        <w:t>Aatomivahelist keemilist sidet kirjeldatakse harmoonilise potentsiaaliga</w:t>
      </w:r>
      <w:r w:rsidR="00C6371D">
        <w:t xml:space="preserve"> </w:t>
      </w:r>
      <w:sdt>
        <w:sdtPr>
          <w:id w:val="328773"/>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t>.</w:t>
      </w:r>
    </w:p>
    <w:p w:rsidR="0048027B" w:rsidRDefault="00B23348" w:rsidP="003476AF">
      <w:pPr>
        <w:jc w:val="cente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side</m:t>
            </m:r>
          </m:sub>
        </m:sSub>
        <m:r>
          <m:rPr>
            <m:sty m:val="p"/>
          </m:rPr>
          <w:rPr>
            <w:rFonts w:ascii="Cambria Math" w:hAnsi="Cambria Math"/>
            <w:szCs w:val="24"/>
          </w:rPr>
          <m:t>(</m:t>
        </m:r>
        <m:r>
          <w:rPr>
            <w:rFonts w:ascii="Cambria Math" w:hAnsi="Cambria Math"/>
            <w:szCs w:val="24"/>
          </w:rPr>
          <m:t>r</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m:rPr>
                <m:sty m:val="p"/>
              </m:rPr>
              <w:rPr>
                <w:rFonts w:ascii="Cambria Math" w:hAnsi="Cambria Math"/>
                <w:szCs w:val="24"/>
              </w:rPr>
              <m:t>2</m:t>
            </m:r>
          </m:den>
        </m:f>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r</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r</m:t>
                </m:r>
              </m:e>
              <m:sub>
                <m:r>
                  <m:rPr>
                    <m:sty m:val="p"/>
                  </m:rPr>
                  <w:rPr>
                    <w:rFonts w:ascii="Cambria Math" w:hAnsi="Cambria Math"/>
                    <w:szCs w:val="24"/>
                  </w:rPr>
                  <m:t>0</m:t>
                </m:r>
              </m:sub>
            </m:sSub>
            <m:r>
              <m:rPr>
                <m:sty m:val="p"/>
              </m:rPr>
              <w:rPr>
                <w:rFonts w:ascii="Cambria Math" w:hAnsi="Cambria Math"/>
                <w:szCs w:val="24"/>
              </w:rPr>
              <m:t>)</m:t>
            </m:r>
          </m:e>
          <m:sup>
            <m:r>
              <m:rPr>
                <m:sty m:val="p"/>
              </m:rPr>
              <w:rPr>
                <w:rFonts w:ascii="Cambria Math" w:hAnsi="Cambria Math"/>
                <w:szCs w:val="24"/>
              </w:rPr>
              <m:t>2</m:t>
            </m:r>
          </m:sup>
        </m:sSup>
      </m:oMath>
      <w:r w:rsidR="00C632B4" w:rsidRPr="0065761D">
        <w:t xml:space="preserve"> </w:t>
      </w:r>
      <w:r w:rsidR="009C4AFC">
        <w:t xml:space="preserve">          (1</w:t>
      </w:r>
      <w:r w:rsidR="003B2430">
        <w:t>6</w:t>
      </w:r>
      <w:r w:rsidR="00C632B4">
        <w:t>)</w:t>
      </w:r>
    </w:p>
    <w:p w:rsidR="0048027B" w:rsidRDefault="00C632B4" w:rsidP="007D722A">
      <w:r w:rsidRPr="00DD7CBC">
        <w:rPr>
          <w:i/>
        </w:rPr>
        <w:t>r</w:t>
      </w:r>
      <w:r>
        <w:t xml:space="preserve"> - aatomite vaheline kaugus (</w:t>
      </w:r>
      <w:r w:rsidRPr="00A724BD">
        <w:t>Å</w:t>
      </w:r>
      <w:r>
        <w:t xml:space="preserve">); </w:t>
      </w:r>
      <w:r>
        <w:rPr>
          <w:i/>
        </w:rPr>
        <w:t>r</w:t>
      </w:r>
      <w:r>
        <w:rPr>
          <w:i/>
          <w:vertAlign w:val="subscript"/>
        </w:rPr>
        <w:t>0</w:t>
      </w:r>
      <w:r>
        <w:t xml:space="preserve"> - tasakaaluoleku kaugus (</w:t>
      </w:r>
      <w:r w:rsidRPr="00A724BD">
        <w:t>Å</w:t>
      </w:r>
      <w:r>
        <w:t xml:space="preserve">); </w:t>
      </w:r>
      <w:r w:rsidRPr="00DD7CBC">
        <w:rPr>
          <w:i/>
        </w:rPr>
        <w:t>K</w:t>
      </w:r>
      <w:r>
        <w:t xml:space="preserve"> – jõukonstant (</w:t>
      </w:r>
      <w:r>
        <w:rPr>
          <w:i/>
        </w:rPr>
        <w:t>kcal mol</w:t>
      </w:r>
      <w:r>
        <w:rPr>
          <w:i/>
          <w:vertAlign w:val="superscript"/>
        </w:rPr>
        <w:t>-1</w:t>
      </w:r>
      <w:r>
        <w:t>). Töös kasutatud jõukonstandid ja tasakaaluoleku vastavad sidemete pikkused on summeeritud tabelis 3. Kompaktsuse huvides kasutatakse tabelites järgmist tähistust</w:t>
      </w:r>
      <w:r w:rsidR="00215283">
        <w:t>:</w:t>
      </w:r>
      <w:r>
        <w:t xml:space="preserve">  </w:t>
      </w:r>
    </w:p>
    <w:p w:rsidR="00C632B4" w:rsidRPr="005B6585" w:rsidRDefault="00C632B4" w:rsidP="007D722A">
      <w:r>
        <w:t>Aatomi nimetus    C</w:t>
      </w:r>
      <w:r w:rsidRPr="00613B3E">
        <w:rPr>
          <w:vertAlign w:val="subscript"/>
        </w:rPr>
        <w:t>xPE</w:t>
      </w:r>
      <w:r>
        <w:t xml:space="preserve"> = C</w:t>
      </w:r>
      <w:r>
        <w:rPr>
          <w:vertAlign w:val="subscript"/>
        </w:rPr>
        <w:t>PE</w:t>
      </w:r>
      <w:r>
        <w:t>, C</w:t>
      </w:r>
      <w:r>
        <w:rPr>
          <w:vertAlign w:val="subscript"/>
        </w:rPr>
        <w:t>cPE</w:t>
      </w:r>
      <w:r>
        <w:t>, C</w:t>
      </w:r>
      <w:r>
        <w:rPr>
          <w:vertAlign w:val="subscript"/>
        </w:rPr>
        <w:t>mPE</w:t>
      </w:r>
      <w:r>
        <w:t xml:space="preserve">            H</w:t>
      </w:r>
      <w:r w:rsidRPr="00613B3E">
        <w:rPr>
          <w:vertAlign w:val="subscript"/>
        </w:rPr>
        <w:t>xPE</w:t>
      </w:r>
      <w:r>
        <w:t xml:space="preserve"> = H</w:t>
      </w:r>
      <w:r>
        <w:rPr>
          <w:vertAlign w:val="subscript"/>
        </w:rPr>
        <w:t>PE</w:t>
      </w:r>
      <w:r>
        <w:t>, H</w:t>
      </w:r>
      <w:r>
        <w:rPr>
          <w:vertAlign w:val="subscript"/>
        </w:rPr>
        <w:t>cPE</w:t>
      </w:r>
      <w:r>
        <w:t>, H</w:t>
      </w:r>
      <w:r>
        <w:rPr>
          <w:vertAlign w:val="subscript"/>
        </w:rPr>
        <w:t>mPE</w:t>
      </w:r>
      <w:r>
        <w:t xml:space="preserve">                                   </w:t>
      </w:r>
    </w:p>
    <w:p w:rsidR="0048027B" w:rsidRDefault="00C632B4" w:rsidP="007D722A">
      <w:pPr>
        <w:rPr>
          <w:vertAlign w:val="subscript"/>
        </w:rPr>
      </w:pPr>
      <w:r>
        <w:t xml:space="preserve">                            C</w:t>
      </w:r>
      <w:r>
        <w:rPr>
          <w:vertAlign w:val="subscript"/>
        </w:rPr>
        <w:t>y</w:t>
      </w:r>
      <w:r w:rsidRPr="00613B3E">
        <w:rPr>
          <w:vertAlign w:val="subscript"/>
        </w:rPr>
        <w:t>PE</w:t>
      </w:r>
      <w:r>
        <w:rPr>
          <w:vertAlign w:val="subscript"/>
        </w:rPr>
        <w:t>O</w:t>
      </w:r>
      <w:r>
        <w:t xml:space="preserve"> = C</w:t>
      </w:r>
      <w:r>
        <w:rPr>
          <w:vertAlign w:val="subscript"/>
        </w:rPr>
        <w:t>PEO</w:t>
      </w:r>
      <w:r>
        <w:t>, C</w:t>
      </w:r>
      <w:r>
        <w:rPr>
          <w:vertAlign w:val="subscript"/>
        </w:rPr>
        <w:t xml:space="preserve">mPEO                         </w:t>
      </w:r>
      <w:r>
        <w:t>H</w:t>
      </w:r>
      <w:r>
        <w:rPr>
          <w:vertAlign w:val="subscript"/>
        </w:rPr>
        <w:t>y</w:t>
      </w:r>
      <w:r w:rsidRPr="00613B3E">
        <w:rPr>
          <w:vertAlign w:val="subscript"/>
        </w:rPr>
        <w:t>PE</w:t>
      </w:r>
      <w:r>
        <w:rPr>
          <w:vertAlign w:val="subscript"/>
        </w:rPr>
        <w:t>O</w:t>
      </w:r>
      <w:r>
        <w:t xml:space="preserve"> = H</w:t>
      </w:r>
      <w:r>
        <w:rPr>
          <w:vertAlign w:val="subscript"/>
        </w:rPr>
        <w:t>PEO</w:t>
      </w:r>
      <w:r>
        <w:t>, H</w:t>
      </w:r>
      <w:r>
        <w:rPr>
          <w:vertAlign w:val="subscript"/>
        </w:rPr>
        <w:t>mPEO</w:t>
      </w:r>
    </w:p>
    <w:tbl>
      <w:tblPr>
        <w:tblW w:w="2897" w:type="pct"/>
        <w:jc w:val="center"/>
        <w:tblInd w:w="-842" w:type="dxa"/>
        <w:tblLook w:val="0000"/>
      </w:tblPr>
      <w:tblGrid>
        <w:gridCol w:w="1419"/>
        <w:gridCol w:w="1700"/>
        <w:gridCol w:w="991"/>
        <w:gridCol w:w="1271"/>
      </w:tblGrid>
      <w:tr w:rsidR="006935EF" w:rsidRPr="00B33112" w:rsidTr="006935EF">
        <w:trPr>
          <w:trHeight w:val="345"/>
          <w:jc w:val="center"/>
        </w:trPr>
        <w:tc>
          <w:tcPr>
            <w:tcW w:w="1318" w:type="pct"/>
            <w:tcBorders>
              <w:top w:val="single" w:sz="4" w:space="0" w:color="auto"/>
              <w:bottom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lastRenderedPageBreak/>
              <w:t>Sideme tüüp</w:t>
            </w:r>
          </w:p>
        </w:tc>
        <w:tc>
          <w:tcPr>
            <w:tcW w:w="1580" w:type="pct"/>
            <w:tcBorders>
              <w:top w:val="single" w:sz="4" w:space="0" w:color="auto"/>
              <w:bottom w:val="single" w:sz="4" w:space="0" w:color="auto"/>
            </w:tcBorders>
          </w:tcPr>
          <w:p w:rsidR="00C632B4" w:rsidRPr="00B33112" w:rsidRDefault="00C632B4" w:rsidP="00350D02">
            <w:pPr>
              <w:pStyle w:val="NoSpacing"/>
              <w:spacing w:line="276" w:lineRule="auto"/>
              <w:jc w:val="center"/>
              <w:rPr>
                <w:rFonts w:cs="Times New Roman"/>
                <w:sz w:val="20"/>
                <w:szCs w:val="20"/>
                <w:vertAlign w:val="superscript"/>
              </w:rPr>
            </w:pPr>
            <w:r w:rsidRPr="00B33112">
              <w:rPr>
                <w:rFonts w:cs="Times New Roman"/>
                <w:sz w:val="20"/>
                <w:szCs w:val="20"/>
              </w:rPr>
              <w:t>Jõukonstant</w:t>
            </w:r>
            <w:r w:rsidR="00AD56C2">
              <w:rPr>
                <w:rFonts w:cs="Times New Roman"/>
                <w:sz w:val="20"/>
                <w:szCs w:val="20"/>
              </w:rPr>
              <w:t xml:space="preserve"> </w:t>
            </w:r>
            <w:r w:rsidRPr="00B33112">
              <w:rPr>
                <w:rFonts w:cs="Times New Roman"/>
                <w:i/>
                <w:sz w:val="20"/>
                <w:szCs w:val="20"/>
              </w:rPr>
              <w:t>K /kcal mol</w:t>
            </w:r>
            <w:r w:rsidRPr="00B33112">
              <w:rPr>
                <w:rFonts w:cs="Times New Roman"/>
                <w:i/>
                <w:sz w:val="20"/>
                <w:szCs w:val="20"/>
                <w:vertAlign w:val="superscript"/>
              </w:rPr>
              <w:t>-1</w:t>
            </w:r>
          </w:p>
        </w:tc>
        <w:tc>
          <w:tcPr>
            <w:tcW w:w="921" w:type="pct"/>
            <w:tcBorders>
              <w:top w:val="single" w:sz="4" w:space="0" w:color="auto"/>
              <w:bottom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p>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w:t>
            </w:r>
            <w:r w:rsidRPr="00B33112">
              <w:rPr>
                <w:rFonts w:cs="Times New Roman"/>
                <w:i/>
                <w:sz w:val="20"/>
                <w:szCs w:val="20"/>
              </w:rPr>
              <w:t>Å</w:t>
            </w:r>
          </w:p>
        </w:tc>
        <w:tc>
          <w:tcPr>
            <w:tcW w:w="1182" w:type="pct"/>
            <w:tcBorders>
              <w:top w:val="single" w:sz="4" w:space="0" w:color="auto"/>
              <w:bottom w:val="single" w:sz="4" w:space="0" w:color="auto"/>
            </w:tcBorders>
          </w:tcPr>
          <w:p w:rsidR="00C632B4" w:rsidRPr="00B33112" w:rsidRDefault="00C632B4" w:rsidP="006935EF">
            <w:pPr>
              <w:pStyle w:val="NoSpacing"/>
              <w:spacing w:line="276" w:lineRule="auto"/>
              <w:jc w:val="center"/>
              <w:rPr>
                <w:rFonts w:cs="Times New Roman"/>
                <w:sz w:val="20"/>
                <w:szCs w:val="20"/>
              </w:rPr>
            </w:pPr>
            <w:r w:rsidRPr="00B33112">
              <w:rPr>
                <w:rFonts w:cs="Times New Roman"/>
                <w:sz w:val="20"/>
                <w:szCs w:val="20"/>
              </w:rPr>
              <w:t>Viide</w:t>
            </w:r>
          </w:p>
        </w:tc>
      </w:tr>
      <w:tr w:rsidR="006935EF" w:rsidRPr="00B33112" w:rsidTr="006935EF">
        <w:trPr>
          <w:trHeight w:val="306"/>
          <w:jc w:val="center"/>
        </w:trPr>
        <w:tc>
          <w:tcPr>
            <w:tcW w:w="1318" w:type="pct"/>
            <w:tcBorders>
              <w:top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Pr="00B33112">
              <w:rPr>
                <w:rFonts w:cs="Times New Roman"/>
                <w:sz w:val="20"/>
                <w:szCs w:val="20"/>
                <w:vertAlign w:val="subscript"/>
              </w:rPr>
              <w:t>xPE</w:t>
            </w:r>
          </w:p>
        </w:tc>
        <w:tc>
          <w:tcPr>
            <w:tcW w:w="1580" w:type="pct"/>
            <w:tcBorders>
              <w:top w:val="single" w:sz="4" w:space="0" w:color="auto"/>
            </w:tcBorders>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620.0</w:t>
            </w:r>
          </w:p>
        </w:tc>
        <w:tc>
          <w:tcPr>
            <w:tcW w:w="921" w:type="pct"/>
            <w:tcBorders>
              <w:top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1.526</w:t>
            </w:r>
          </w:p>
        </w:tc>
        <w:tc>
          <w:tcPr>
            <w:tcW w:w="1182" w:type="pct"/>
            <w:tcBorders>
              <w:top w:val="single" w:sz="4" w:space="0" w:color="auto"/>
            </w:tcBorders>
          </w:tcPr>
          <w:p w:rsidR="00C632B4" w:rsidRPr="00B33112" w:rsidRDefault="00B23348" w:rsidP="00B75B3F">
            <w:pPr>
              <w:pStyle w:val="NoSpacing"/>
              <w:spacing w:line="276" w:lineRule="auto"/>
              <w:jc w:val="center"/>
              <w:rPr>
                <w:rFonts w:cs="Times New Roman"/>
                <w:sz w:val="20"/>
                <w:szCs w:val="20"/>
              </w:rPr>
            </w:pPr>
            <w:sdt>
              <w:sdtPr>
                <w:rPr>
                  <w:rFonts w:cs="Times New Roman"/>
                  <w:sz w:val="20"/>
                  <w:szCs w:val="20"/>
                </w:rPr>
                <w:id w:val="3734141"/>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xPE</w:t>
            </w:r>
            <w:r w:rsidRPr="00B33112">
              <w:rPr>
                <w:rFonts w:cs="Times New Roman"/>
                <w:sz w:val="20"/>
                <w:szCs w:val="20"/>
              </w:rPr>
              <w:t>-H</w:t>
            </w:r>
            <w:r w:rsidRPr="00B33112">
              <w:rPr>
                <w:rFonts w:cs="Times New Roman"/>
                <w:sz w:val="20"/>
                <w:szCs w:val="20"/>
                <w:vertAlign w:val="subscript"/>
              </w:rPr>
              <w:t>xPE</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680.0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1.09</w:t>
            </w:r>
          </w:p>
        </w:tc>
        <w:tc>
          <w:tcPr>
            <w:tcW w:w="1182" w:type="pct"/>
          </w:tcPr>
          <w:p w:rsidR="00C632B4" w:rsidRPr="00B33112" w:rsidRDefault="00B23348" w:rsidP="00B75B3F">
            <w:pPr>
              <w:pStyle w:val="NoSpacing"/>
              <w:spacing w:line="276" w:lineRule="auto"/>
              <w:jc w:val="center"/>
              <w:rPr>
                <w:rFonts w:cs="Times New Roman"/>
                <w:sz w:val="20"/>
                <w:szCs w:val="20"/>
              </w:rPr>
            </w:pPr>
            <w:sdt>
              <w:sdtPr>
                <w:rPr>
                  <w:rFonts w:cs="Times New Roman"/>
                  <w:sz w:val="20"/>
                  <w:szCs w:val="20"/>
                </w:rPr>
                <w:id w:val="3734142"/>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-O</w:t>
            </w:r>
            <w:r w:rsidRPr="00B33112">
              <w:rPr>
                <w:rFonts w:cs="Times New Roman"/>
                <w:sz w:val="20"/>
                <w:szCs w:val="20"/>
                <w:vertAlign w:val="subscript"/>
              </w:rPr>
              <w:t>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1.43</w:t>
            </w:r>
          </w:p>
        </w:tc>
        <w:tc>
          <w:tcPr>
            <w:tcW w:w="1182" w:type="pct"/>
          </w:tcPr>
          <w:p w:rsidR="00C632B4" w:rsidRPr="007806D1" w:rsidRDefault="00B23348" w:rsidP="00B75B3F">
            <w:pPr>
              <w:pStyle w:val="NoSpacing"/>
              <w:spacing w:line="276" w:lineRule="auto"/>
              <w:jc w:val="center"/>
              <w:rPr>
                <w:rFonts w:cs="Times New Roman"/>
                <w:sz w:val="20"/>
                <w:szCs w:val="20"/>
              </w:rPr>
            </w:pPr>
            <w:sdt>
              <w:sdtPr>
                <w:rPr>
                  <w:rFonts w:cs="Times New Roman"/>
                  <w:sz w:val="20"/>
                  <w:szCs w:val="20"/>
                </w:rPr>
                <w:id w:val="191671694"/>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Pr="00B33112">
              <w:rPr>
                <w:rFonts w:cs="Times New Roman"/>
                <w:sz w:val="20"/>
                <w:szCs w:val="20"/>
              </w:rPr>
              <w:t>-C</w:t>
            </w:r>
            <w:r w:rsidRPr="00B33112">
              <w:rPr>
                <w:rFonts w:cs="Times New Roman"/>
                <w:sz w:val="20"/>
                <w:szCs w:val="20"/>
                <w:vertAlign w:val="subscript"/>
              </w:rPr>
              <w:t>yPEO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505.0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1.54</w:t>
            </w:r>
          </w:p>
        </w:tc>
        <w:tc>
          <w:tcPr>
            <w:tcW w:w="1182" w:type="pct"/>
          </w:tcPr>
          <w:p w:rsidR="00C632B4" w:rsidRPr="007806D1" w:rsidRDefault="00B23348" w:rsidP="00B75B3F">
            <w:pPr>
              <w:pStyle w:val="NoSpacing"/>
              <w:spacing w:line="276" w:lineRule="auto"/>
              <w:jc w:val="center"/>
              <w:rPr>
                <w:rFonts w:cs="Times New Roman"/>
                <w:sz w:val="20"/>
                <w:szCs w:val="20"/>
              </w:rPr>
            </w:pPr>
            <w:sdt>
              <w:sdtPr>
                <w:rPr>
                  <w:rFonts w:cs="Times New Roman"/>
                  <w:sz w:val="20"/>
                  <w:szCs w:val="20"/>
                </w:rPr>
                <w:id w:val="191671695"/>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Pr="00B33112">
              <w:rPr>
                <w:rFonts w:cs="Times New Roman"/>
                <w:sz w:val="20"/>
                <w:szCs w:val="20"/>
              </w:rPr>
              <w:t>-O</w:t>
            </w:r>
            <w:r w:rsidRPr="00B33112">
              <w:rPr>
                <w:rFonts w:cs="Times New Roman"/>
                <w:sz w:val="20"/>
                <w:szCs w:val="20"/>
                <w:vertAlign w:val="subscript"/>
              </w:rPr>
              <w:t>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1.43</w:t>
            </w:r>
          </w:p>
        </w:tc>
        <w:tc>
          <w:tcPr>
            <w:tcW w:w="1182" w:type="pct"/>
          </w:tcPr>
          <w:p w:rsidR="00C632B4" w:rsidRPr="007806D1" w:rsidRDefault="00B23348" w:rsidP="00B75B3F">
            <w:pPr>
              <w:pStyle w:val="NoSpacing"/>
              <w:spacing w:line="276" w:lineRule="auto"/>
              <w:jc w:val="center"/>
              <w:rPr>
                <w:rFonts w:cs="Times New Roman"/>
                <w:sz w:val="20"/>
                <w:szCs w:val="20"/>
              </w:rPr>
            </w:pPr>
            <w:sdt>
              <w:sdtPr>
                <w:rPr>
                  <w:rFonts w:cs="Times New Roman"/>
                  <w:sz w:val="20"/>
                  <w:szCs w:val="20"/>
                </w:rPr>
                <w:id w:val="191671696"/>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yPEO</w:t>
            </w:r>
            <w:r w:rsidRPr="00B33112">
              <w:rPr>
                <w:rFonts w:cs="Times New Roman"/>
                <w:sz w:val="20"/>
                <w:szCs w:val="20"/>
              </w:rPr>
              <w:t>-H</w:t>
            </w:r>
            <w:r w:rsidRPr="00B33112">
              <w:rPr>
                <w:rFonts w:cs="Times New Roman"/>
                <w:sz w:val="20"/>
                <w:szCs w:val="20"/>
                <w:vertAlign w:val="subscript"/>
              </w:rPr>
              <w:t>yPEO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510.0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1.09</w:t>
            </w:r>
          </w:p>
        </w:tc>
        <w:tc>
          <w:tcPr>
            <w:tcW w:w="1182" w:type="pct"/>
          </w:tcPr>
          <w:p w:rsidR="00C632B4" w:rsidRPr="007806D1" w:rsidRDefault="00B23348" w:rsidP="00B75B3F">
            <w:pPr>
              <w:pStyle w:val="NoSpacing"/>
              <w:spacing w:line="276" w:lineRule="auto"/>
              <w:jc w:val="center"/>
              <w:rPr>
                <w:rFonts w:cs="Times New Roman"/>
                <w:sz w:val="20"/>
                <w:szCs w:val="20"/>
              </w:rPr>
            </w:pPr>
            <w:sdt>
              <w:sdtPr>
                <w:rPr>
                  <w:rFonts w:cs="Times New Roman"/>
                  <w:sz w:val="20"/>
                  <w:szCs w:val="20"/>
                </w:rPr>
                <w:id w:val="191671698"/>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6935EF" w:rsidRPr="00B33112" w:rsidTr="006935EF">
        <w:trPr>
          <w:trHeight w:val="80"/>
          <w:jc w:val="center"/>
        </w:trPr>
        <w:tc>
          <w:tcPr>
            <w:tcW w:w="1318" w:type="pct"/>
            <w:tcBorders>
              <w:bottom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P-F</w:t>
            </w:r>
          </w:p>
        </w:tc>
        <w:tc>
          <w:tcPr>
            <w:tcW w:w="1580" w:type="pct"/>
            <w:tcBorders>
              <w:bottom w:val="single" w:sz="4" w:space="0" w:color="auto"/>
            </w:tcBorders>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400.0</w:t>
            </w:r>
          </w:p>
        </w:tc>
        <w:tc>
          <w:tcPr>
            <w:tcW w:w="921" w:type="pct"/>
            <w:tcBorders>
              <w:bottom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1.635</w:t>
            </w:r>
          </w:p>
        </w:tc>
        <w:tc>
          <w:tcPr>
            <w:tcW w:w="1182" w:type="pct"/>
            <w:tcBorders>
              <w:bottom w:val="single" w:sz="4" w:space="0" w:color="auto"/>
            </w:tcBorders>
          </w:tcPr>
          <w:p w:rsidR="00C632B4" w:rsidRPr="00B33112" w:rsidRDefault="00B23348" w:rsidP="00B75B3F">
            <w:pPr>
              <w:pStyle w:val="NoSpacing"/>
              <w:spacing w:line="276" w:lineRule="auto"/>
              <w:jc w:val="center"/>
              <w:rPr>
                <w:rFonts w:cs="Times New Roman"/>
                <w:sz w:val="20"/>
                <w:szCs w:val="20"/>
              </w:rPr>
            </w:pPr>
            <w:sdt>
              <w:sdtPr>
                <w:rPr>
                  <w:rFonts w:cs="Times New Roman"/>
                  <w:sz w:val="20"/>
                  <w:szCs w:val="20"/>
                </w:rPr>
                <w:id w:val="3734126"/>
                <w:citation/>
              </w:sdtPr>
              <w:sdtContent>
                <w:r>
                  <w:rPr>
                    <w:rFonts w:cs="Times New Roman"/>
                    <w:sz w:val="20"/>
                    <w:szCs w:val="20"/>
                  </w:rPr>
                  <w:fldChar w:fldCharType="begin"/>
                </w:r>
                <w:r w:rsidR="00B75B3F">
                  <w:rPr>
                    <w:rFonts w:cs="Times New Roman"/>
                    <w:sz w:val="20"/>
                    <w:szCs w:val="20"/>
                  </w:rPr>
                  <w:instrText xml:space="preserve"> CITATION e \l 1061  </w:instrText>
                </w:r>
                <w:r>
                  <w:rPr>
                    <w:rFonts w:cs="Times New Roman"/>
                    <w:sz w:val="20"/>
                    <w:szCs w:val="20"/>
                  </w:rPr>
                  <w:fldChar w:fldCharType="separate"/>
                </w:r>
                <w:r w:rsidR="005B76C8" w:rsidRPr="005B76C8">
                  <w:rPr>
                    <w:rFonts w:cs="Times New Roman"/>
                    <w:noProof/>
                    <w:sz w:val="20"/>
                    <w:szCs w:val="20"/>
                  </w:rPr>
                  <w:t>[</w:t>
                </w:r>
                <w:hyperlink w:anchor="e" w:history="1">
                  <w:r w:rsidR="005B76C8" w:rsidRPr="005B76C8">
                    <w:rPr>
                      <w:rStyle w:val="Heading2Char"/>
                      <w:rFonts w:eastAsiaTheme="minorEastAsia" w:cs="Times New Roman"/>
                      <w:noProof/>
                      <w:sz w:val="20"/>
                      <w:szCs w:val="20"/>
                    </w:rPr>
                    <w:t>49</w:t>
                  </w:r>
                </w:hyperlink>
                <w:r w:rsidR="005B76C8" w:rsidRPr="005B76C8">
                  <w:rPr>
                    <w:rFonts w:cs="Times New Roman"/>
                    <w:noProof/>
                    <w:sz w:val="20"/>
                    <w:szCs w:val="20"/>
                  </w:rPr>
                  <w:t>]</w:t>
                </w:r>
                <w:r>
                  <w:rPr>
                    <w:rFonts w:cs="Times New Roman"/>
                    <w:sz w:val="20"/>
                    <w:szCs w:val="20"/>
                  </w:rPr>
                  <w:fldChar w:fldCharType="end"/>
                </w:r>
              </w:sdtContent>
            </w:sdt>
          </w:p>
        </w:tc>
      </w:tr>
    </w:tbl>
    <w:p w:rsidR="00C632B4" w:rsidRPr="00B33112" w:rsidRDefault="00C632B4" w:rsidP="007D722A">
      <w:pPr>
        <w:pStyle w:val="NoSpacing"/>
        <w:spacing w:line="276" w:lineRule="auto"/>
        <w:jc w:val="both"/>
        <w:rPr>
          <w:rFonts w:cs="Times New Roman"/>
          <w:sz w:val="20"/>
          <w:szCs w:val="20"/>
        </w:rPr>
      </w:pPr>
    </w:p>
    <w:p w:rsidR="00C632B4" w:rsidRDefault="00C632B4" w:rsidP="00C2123F">
      <w:pPr>
        <w:pStyle w:val="NoSpacing"/>
        <w:spacing w:line="276" w:lineRule="auto"/>
        <w:jc w:val="center"/>
        <w:rPr>
          <w:rFonts w:cs="Times New Roman"/>
          <w:szCs w:val="24"/>
        </w:rPr>
      </w:pPr>
      <w:r>
        <w:rPr>
          <w:rFonts w:cs="Times New Roman"/>
          <w:b/>
          <w:szCs w:val="24"/>
        </w:rPr>
        <w:t>Tabel 3</w:t>
      </w:r>
      <w:r w:rsidRPr="000B41E1">
        <w:rPr>
          <w:rFonts w:cs="Times New Roman"/>
          <w:b/>
          <w:szCs w:val="24"/>
        </w:rPr>
        <w:t>:</w:t>
      </w:r>
      <w:r>
        <w:rPr>
          <w:rFonts w:cs="Times New Roman"/>
          <w:szCs w:val="24"/>
        </w:rPr>
        <w:t xml:space="preserve"> Keemiliste</w:t>
      </w:r>
      <w:r w:rsidRPr="00F065FB">
        <w:rPr>
          <w:rFonts w:cs="Times New Roman"/>
          <w:szCs w:val="24"/>
        </w:rPr>
        <w:t xml:space="preserve"> sideme</w:t>
      </w:r>
      <w:r>
        <w:rPr>
          <w:rFonts w:cs="Times New Roman"/>
          <w:szCs w:val="24"/>
        </w:rPr>
        <w:t>te potentsiaali</w:t>
      </w:r>
      <w:r w:rsidRPr="00F065FB">
        <w:rPr>
          <w:rFonts w:cs="Times New Roman"/>
          <w:szCs w:val="24"/>
        </w:rPr>
        <w:t>parameetrid</w:t>
      </w:r>
      <w:r>
        <w:rPr>
          <w:rFonts w:cs="Times New Roman"/>
          <w:szCs w:val="24"/>
        </w:rPr>
        <w:t>.</w:t>
      </w:r>
    </w:p>
    <w:p w:rsidR="00B742A2" w:rsidRDefault="00B742A2" w:rsidP="00C2123F">
      <w:pPr>
        <w:pStyle w:val="NoSpacing"/>
        <w:spacing w:line="276" w:lineRule="auto"/>
        <w:jc w:val="center"/>
        <w:rPr>
          <w:rFonts w:cs="Times New Roman"/>
          <w:szCs w:val="24"/>
        </w:rPr>
      </w:pPr>
    </w:p>
    <w:p w:rsidR="00C632B4" w:rsidRDefault="00C632B4" w:rsidP="007D722A">
      <w:pPr>
        <w:pStyle w:val="Heading3"/>
        <w:rPr>
          <w:rFonts w:cs="Times New Roman"/>
        </w:rPr>
      </w:pPr>
      <w:bookmarkStart w:id="68" w:name="_Toc231118075"/>
      <w:bookmarkStart w:id="69" w:name="_Toc321348221"/>
      <w:bookmarkStart w:id="70" w:name="_Toc325224185"/>
      <w:r w:rsidRPr="00433470">
        <w:t>3.</w:t>
      </w:r>
      <w:r>
        <w:t>5</w:t>
      </w:r>
      <w:r w:rsidRPr="00433470">
        <w:t>.</w:t>
      </w:r>
      <w:r>
        <w:t xml:space="preserve">3. </w:t>
      </w:r>
      <w:r w:rsidRPr="00433470">
        <w:t xml:space="preserve"> </w:t>
      </w:r>
      <w:r>
        <w:t>Valentsnurgad</w:t>
      </w:r>
      <w:bookmarkEnd w:id="68"/>
      <w:bookmarkEnd w:id="69"/>
      <w:bookmarkEnd w:id="70"/>
    </w:p>
    <w:p w:rsidR="00C632B4" w:rsidRDefault="00C632B4" w:rsidP="007D722A">
      <w:r>
        <w:t>Valentsnurga energiat kirjeldab harmooniline potentsiaal</w:t>
      </w:r>
      <w:r w:rsidR="00C6371D">
        <w:t xml:space="preserve"> </w:t>
      </w:r>
      <w:sdt>
        <w:sdtPr>
          <w:id w:val="328774"/>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t>.</w:t>
      </w:r>
    </w:p>
    <w:p w:rsidR="00C632B4" w:rsidRDefault="00B23348" w:rsidP="003476AF">
      <w:pPr>
        <w:pStyle w:val="NoSpacing"/>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9C4AFC">
        <w:rPr>
          <w:szCs w:val="24"/>
        </w:rPr>
        <w:t xml:space="preserve">            (1</w:t>
      </w:r>
      <w:r w:rsidR="003B2430">
        <w:rPr>
          <w:szCs w:val="24"/>
        </w:rPr>
        <w:t>7</w:t>
      </w:r>
      <w:r w:rsidR="00C632B4">
        <w:rPr>
          <w:szCs w:val="24"/>
        </w:rPr>
        <w:t>)</w:t>
      </w:r>
    </w:p>
    <w:p w:rsidR="00C632B4" w:rsidRDefault="00C632B4" w:rsidP="007D722A">
      <w:pPr>
        <w:pStyle w:val="NoSpacing"/>
        <w:spacing w:line="276" w:lineRule="auto"/>
        <w:jc w:val="both"/>
        <w:rPr>
          <w:rFonts w:cs="Times New Roman"/>
          <w:szCs w:val="24"/>
        </w:rPr>
      </w:pPr>
    </w:p>
    <w:p w:rsidR="00C632B4" w:rsidRDefault="00C632B4" w:rsidP="007D722A">
      <w:r w:rsidRPr="00DD7CBC">
        <w:rPr>
          <w:i/>
        </w:rPr>
        <w:t>K</w:t>
      </w:r>
      <w:r>
        <w:t xml:space="preserve"> – jõukonstant (</w:t>
      </w:r>
      <w:r>
        <w:rPr>
          <w:i/>
        </w:rPr>
        <w:t>kcal mol</w:t>
      </w:r>
      <w:r>
        <w:rPr>
          <w:i/>
          <w:vertAlign w:val="superscript"/>
        </w:rPr>
        <w:t>-1</w:t>
      </w:r>
      <w:r>
        <w:t>);</w:t>
      </w:r>
      <w:r w:rsidRPr="00B33112">
        <w:t xml:space="preserve"> </w:t>
      </w:r>
      <w:r>
        <w:t xml:space="preserve"> </w:t>
      </w:r>
      <m:oMath>
        <m:r>
          <w:rPr>
            <w:rFonts w:ascii="Cambria Math" w:hAnsi="Cambria Math"/>
            <w:sz w:val="28"/>
            <w:szCs w:val="28"/>
          </w:rPr>
          <m:t>ϴ</m:t>
        </m:r>
      </m:oMath>
      <w:r>
        <w:t xml:space="preserve"> - valentsnurk (</w:t>
      </w:r>
      <w:r w:rsidR="00C2123F">
        <w:rPr>
          <w:i/>
        </w:rPr>
        <w:t>deg</w:t>
      </w:r>
      <w: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t xml:space="preserve"> – tasakaaluolekule vastav nurk (</w:t>
      </w:r>
      <w:r w:rsidRPr="00215D7B">
        <w:rPr>
          <w:i/>
        </w:rPr>
        <w:t>d</w:t>
      </w:r>
      <w:r w:rsidR="00C2123F">
        <w:rPr>
          <w:i/>
        </w:rPr>
        <w:t>eg</w:t>
      </w:r>
      <w:r>
        <w:t>). Töös kasutatud jõukonstandid ja tasakaaluolekule vastavad nurgad on summeeritud tabelis</w:t>
      </w:r>
      <w:r w:rsidR="00C2123F">
        <w:t xml:space="preserve"> </w:t>
      </w:r>
      <w:r>
        <w:t>4.</w:t>
      </w:r>
    </w:p>
    <w:p w:rsidR="00C632B4" w:rsidRDefault="00C632B4" w:rsidP="007D722A"/>
    <w:tbl>
      <w:tblPr>
        <w:tblW w:w="3345" w:type="pct"/>
        <w:jc w:val="center"/>
        <w:tblInd w:w="-1080" w:type="dxa"/>
        <w:tblBorders>
          <w:top w:val="single" w:sz="4" w:space="0" w:color="auto"/>
        </w:tblBorders>
        <w:tblLook w:val="0000"/>
      </w:tblPr>
      <w:tblGrid>
        <w:gridCol w:w="1830"/>
        <w:gridCol w:w="1017"/>
        <w:gridCol w:w="849"/>
        <w:gridCol w:w="971"/>
        <w:gridCol w:w="1547"/>
      </w:tblGrid>
      <w:tr w:rsidR="00206083" w:rsidRPr="00F45A62" w:rsidTr="00986E1A">
        <w:trPr>
          <w:trHeight w:val="345"/>
          <w:jc w:val="center"/>
        </w:trPr>
        <w:tc>
          <w:tcPr>
            <w:tcW w:w="1472" w:type="pct"/>
            <w:tcBorders>
              <w:top w:val="single" w:sz="4" w:space="0" w:color="auto"/>
              <w:bottom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Nurga tüüp</w:t>
            </w:r>
          </w:p>
        </w:tc>
        <w:tc>
          <w:tcPr>
            <w:tcW w:w="1501" w:type="pct"/>
            <w:gridSpan w:val="2"/>
            <w:tcBorders>
              <w:top w:val="single" w:sz="4" w:space="0" w:color="auto"/>
              <w:bottom w:val="single" w:sz="4" w:space="0" w:color="auto"/>
            </w:tcBorders>
          </w:tcPr>
          <w:p w:rsidR="00C632B4" w:rsidRPr="00F45A62" w:rsidRDefault="00C632B4" w:rsidP="00206083">
            <w:pPr>
              <w:pStyle w:val="NoSpacing"/>
              <w:spacing w:line="276" w:lineRule="auto"/>
              <w:rPr>
                <w:rFonts w:cs="Times New Roman"/>
                <w:sz w:val="20"/>
                <w:szCs w:val="20"/>
              </w:rPr>
            </w:pPr>
            <w:r w:rsidRPr="00F45A62">
              <w:rPr>
                <w:rFonts w:cs="Times New Roman"/>
                <w:sz w:val="20"/>
                <w:szCs w:val="20"/>
              </w:rPr>
              <w:t>Jõukonstant K</w:t>
            </w:r>
          </w:p>
          <w:p w:rsidR="00C632B4" w:rsidRPr="00F45A62" w:rsidRDefault="00C632B4" w:rsidP="00206083">
            <w:pPr>
              <w:pStyle w:val="NoSpacing"/>
              <w:spacing w:line="276" w:lineRule="auto"/>
              <w:rPr>
                <w:rFonts w:cs="Times New Roman"/>
                <w:sz w:val="20"/>
                <w:szCs w:val="20"/>
              </w:rPr>
            </w:pPr>
            <w:r w:rsidRPr="00F45A62">
              <w:rPr>
                <w:rFonts w:cs="Times New Roman"/>
                <w:sz w:val="20"/>
                <w:szCs w:val="20"/>
              </w:rPr>
              <w:t>/</w:t>
            </w:r>
            <w:r w:rsidRPr="00F45A62">
              <w:rPr>
                <w:rFonts w:cs="Times New Roman"/>
                <w:i/>
                <w:sz w:val="20"/>
                <w:szCs w:val="20"/>
              </w:rPr>
              <w:t>kcal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781" w:type="pct"/>
            <w:tcBorders>
              <w:top w:val="single" w:sz="4" w:space="0" w:color="auto"/>
              <w:bottom w:val="single" w:sz="4" w:space="0" w:color="auto"/>
            </w:tcBorders>
          </w:tcPr>
          <w:p w:rsidR="00C632B4" w:rsidRPr="00F45A62" w:rsidRDefault="00C632B4" w:rsidP="007D722A">
            <w:pPr>
              <w:pStyle w:val="NoSpacing"/>
              <w:spacing w:line="276" w:lineRule="auto"/>
              <w:jc w:val="both"/>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p>
          <w:p w:rsidR="00C632B4" w:rsidRPr="00F45A62" w:rsidRDefault="00C632B4" w:rsidP="00986E1A">
            <w:pPr>
              <w:pStyle w:val="NoSpacing"/>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1245" w:type="pct"/>
            <w:tcBorders>
              <w:top w:val="single" w:sz="4" w:space="0" w:color="auto"/>
              <w:bottom w:val="single" w:sz="4" w:space="0" w:color="auto"/>
            </w:tcBorders>
          </w:tcPr>
          <w:p w:rsidR="00C632B4" w:rsidRPr="00F45A62" w:rsidRDefault="00C632B4" w:rsidP="00206083">
            <w:pPr>
              <w:pStyle w:val="NoSpacing"/>
              <w:spacing w:line="276" w:lineRule="auto"/>
              <w:jc w:val="center"/>
              <w:rPr>
                <w:rFonts w:cs="Times New Roman"/>
                <w:sz w:val="20"/>
                <w:szCs w:val="20"/>
              </w:rPr>
            </w:pPr>
            <w:r w:rsidRPr="00F45A62">
              <w:rPr>
                <w:sz w:val="20"/>
                <w:szCs w:val="20"/>
              </w:rPr>
              <w:t>Viide</w:t>
            </w:r>
          </w:p>
        </w:tc>
      </w:tr>
      <w:tr w:rsidR="00206083" w:rsidRPr="00F45A62" w:rsidTr="00986E1A">
        <w:trPr>
          <w:trHeight w:val="306"/>
          <w:jc w:val="center"/>
        </w:trPr>
        <w:tc>
          <w:tcPr>
            <w:tcW w:w="1472" w:type="pct"/>
            <w:tcBorders>
              <w:top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xPE</w:t>
            </w:r>
          </w:p>
        </w:tc>
        <w:tc>
          <w:tcPr>
            <w:tcW w:w="818" w:type="pct"/>
            <w:tcBorders>
              <w:top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80.0</w:t>
            </w:r>
          </w:p>
        </w:tc>
        <w:tc>
          <w:tcPr>
            <w:tcW w:w="1464" w:type="pct"/>
            <w:gridSpan w:val="2"/>
            <w:tcBorders>
              <w:top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Borders>
              <w:top w:val="single" w:sz="4" w:space="0" w:color="auto"/>
            </w:tcBorders>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3"/>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70.0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4"/>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xPE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5"/>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6"/>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7"/>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70.0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8"/>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49"/>
                <w:citation/>
              </w:sdtPr>
              <w:sdtContent>
                <w:r>
                  <w:rPr>
                    <w:rFonts w:cs="Times New Roman"/>
                    <w:sz w:val="20"/>
                    <w:szCs w:val="20"/>
                  </w:rPr>
                  <w:fldChar w:fldCharType="begin"/>
                </w:r>
                <w:r w:rsidR="00B75B3F">
                  <w:rPr>
                    <w:rFonts w:cs="Times New Roman"/>
                    <w:sz w:val="20"/>
                    <w:szCs w:val="20"/>
                  </w:rPr>
                  <w:instrText xml:space="preserve"> CITATION S \l 1061  </w:instrText>
                </w:r>
                <w:r>
                  <w:rPr>
                    <w:rFonts w:cs="Times New Roman"/>
                    <w:sz w:val="20"/>
                    <w:szCs w:val="20"/>
                  </w:rPr>
                  <w:fldChar w:fldCharType="separate"/>
                </w:r>
                <w:r w:rsidR="005B76C8" w:rsidRPr="005B76C8">
                  <w:rPr>
                    <w:rFonts w:cs="Times New Roman"/>
                    <w:noProof/>
                    <w:sz w:val="20"/>
                    <w:szCs w:val="20"/>
                  </w:rPr>
                  <w:t>[</w:t>
                </w:r>
                <w:hyperlink w:anchor="S" w:history="1">
                  <w:r w:rsidR="005B76C8" w:rsidRPr="005B76C8">
                    <w:rPr>
                      <w:rStyle w:val="Heading2Char"/>
                      <w:rFonts w:eastAsiaTheme="minorEastAsia" w:cs="Times New Roman"/>
                      <w:noProof/>
                      <w:sz w:val="20"/>
                      <w:szCs w:val="20"/>
                    </w:rPr>
                    <w:t>10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219.0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112.00</w:t>
            </w:r>
          </w:p>
        </w:tc>
        <w:tc>
          <w:tcPr>
            <w:tcW w:w="1245" w:type="pct"/>
          </w:tcPr>
          <w:p w:rsidR="00C632B4" w:rsidRPr="00F45A62" w:rsidRDefault="00B23348" w:rsidP="00206083">
            <w:pPr>
              <w:pStyle w:val="NoSpacing"/>
              <w:spacing w:line="276" w:lineRule="auto"/>
              <w:jc w:val="center"/>
              <w:rPr>
                <w:rFonts w:cs="Times New Roman"/>
                <w:sz w:val="20"/>
                <w:szCs w:val="20"/>
              </w:rPr>
            </w:pPr>
            <w:sdt>
              <w:sdtPr>
                <w:rPr>
                  <w:rFonts w:cs="Times New Roman"/>
                  <w:sz w:val="20"/>
                  <w:szCs w:val="20"/>
                </w:rPr>
                <w:id w:val="3734154"/>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-H</w:t>
            </w:r>
            <w:r w:rsidRPr="00F45A62">
              <w:rPr>
                <w:rFonts w:cs="Times New Roman"/>
                <w:sz w:val="20"/>
                <w:szCs w:val="20"/>
                <w:vertAlign w:val="subscript"/>
              </w:rPr>
              <w:t>cPE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98.0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191663367"/>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152.9</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110.00</w:t>
            </w:r>
          </w:p>
        </w:tc>
        <w:tc>
          <w:tcPr>
            <w:tcW w:w="1245" w:type="pct"/>
          </w:tcPr>
          <w:p w:rsidR="00C632B4" w:rsidRPr="00F45A62" w:rsidRDefault="00B23348" w:rsidP="00206083">
            <w:pPr>
              <w:pStyle w:val="NoSpacing"/>
              <w:spacing w:line="276" w:lineRule="auto"/>
              <w:jc w:val="center"/>
              <w:rPr>
                <w:rFonts w:cs="Times New Roman"/>
                <w:sz w:val="20"/>
                <w:szCs w:val="20"/>
              </w:rPr>
            </w:pPr>
            <w:sdt>
              <w:sdtPr>
                <w:rPr>
                  <w:rFonts w:cs="Times New Roman"/>
                  <w:sz w:val="20"/>
                  <w:szCs w:val="20"/>
                </w:rPr>
                <w:id w:val="3734155"/>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yPEO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152.9</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110.00</w:t>
            </w:r>
          </w:p>
        </w:tc>
        <w:tc>
          <w:tcPr>
            <w:tcW w:w="1245" w:type="pct"/>
          </w:tcPr>
          <w:p w:rsidR="00C632B4" w:rsidRPr="00F45A62" w:rsidRDefault="00B23348" w:rsidP="00206083">
            <w:pPr>
              <w:pStyle w:val="NoSpacing"/>
              <w:spacing w:line="276" w:lineRule="auto"/>
              <w:jc w:val="center"/>
              <w:rPr>
                <w:rFonts w:cs="Times New Roman"/>
                <w:sz w:val="20"/>
                <w:szCs w:val="20"/>
              </w:rPr>
            </w:pPr>
            <w:sdt>
              <w:sdtPr>
                <w:rPr>
                  <w:rFonts w:cs="Times New Roman"/>
                  <w:sz w:val="20"/>
                  <w:szCs w:val="20"/>
                </w:rPr>
                <w:id w:val="3734156"/>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219.1</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112.00</w:t>
            </w:r>
          </w:p>
        </w:tc>
        <w:tc>
          <w:tcPr>
            <w:tcW w:w="1245" w:type="pct"/>
          </w:tcPr>
          <w:p w:rsidR="00C632B4" w:rsidRPr="00F45A62" w:rsidRDefault="00B23348" w:rsidP="00206083">
            <w:pPr>
              <w:pStyle w:val="NoSpacing"/>
              <w:spacing w:line="276" w:lineRule="auto"/>
              <w:jc w:val="center"/>
              <w:rPr>
                <w:rFonts w:cs="Times New Roman"/>
                <w:sz w:val="20"/>
                <w:szCs w:val="20"/>
              </w:rPr>
            </w:pPr>
            <w:sdt>
              <w:sdtPr>
                <w:rPr>
                  <w:rFonts w:cs="Times New Roman"/>
                  <w:sz w:val="20"/>
                  <w:szCs w:val="20"/>
                </w:rPr>
                <w:id w:val="3734157"/>
                <w:citation/>
              </w:sdtPr>
              <w:sdtContent>
                <w:r w:rsidRPr="00F45A62">
                  <w:rPr>
                    <w:rFonts w:cs="Times New Roman"/>
                    <w:sz w:val="20"/>
                    <w:szCs w:val="20"/>
                  </w:rPr>
                  <w:fldChar w:fldCharType="begin"/>
                </w:r>
                <w:r w:rsidR="00C632B4" w:rsidRPr="00F45A62">
                  <w:rPr>
                    <w:rFonts w:cs="Times New Roman"/>
                    <w:sz w:val="20"/>
                    <w:szCs w:val="20"/>
                  </w:rPr>
                  <w:instrText xml:space="preserve"> CITATION c \l 1061 </w:instrText>
                </w:r>
                <w:r w:rsidRPr="00F45A62">
                  <w:rPr>
                    <w:rFonts w:cs="Times New Roman"/>
                    <w:sz w:val="20"/>
                    <w:szCs w:val="20"/>
                  </w:rPr>
                  <w:fldChar w:fldCharType="separate"/>
                </w:r>
                <w:r w:rsidR="005B76C8" w:rsidRPr="005B76C8">
                  <w:rPr>
                    <w:rFonts w:cs="Times New Roman"/>
                    <w:noProof/>
                    <w:sz w:val="20"/>
                    <w:szCs w:val="20"/>
                  </w:rPr>
                  <w:t>[</w:t>
                </w:r>
                <w:hyperlink w:anchor="c" w:history="1">
                  <w:r w:rsidR="005B76C8" w:rsidRPr="005B76C8">
                    <w:rPr>
                      <w:rStyle w:val="Heading2Char"/>
                      <w:rFonts w:eastAsiaTheme="minorEastAsia" w:cs="Times New Roman"/>
                      <w:noProof/>
                      <w:sz w:val="20"/>
                      <w:szCs w:val="20"/>
                    </w:rPr>
                    <w:t>48</w:t>
                  </w:r>
                </w:hyperlink>
                <w:r w:rsidR="005B76C8" w:rsidRPr="005B76C8">
                  <w:rPr>
                    <w:rFonts w:cs="Times New Roman"/>
                    <w:noProof/>
                    <w:sz w:val="20"/>
                    <w:szCs w:val="20"/>
                  </w:rPr>
                  <w:t>]</w:t>
                </w:r>
                <w:r w:rsidRPr="00F45A62">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-H</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98.0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B23348" w:rsidP="00B75B3F">
            <w:pPr>
              <w:pStyle w:val="NoSpacing"/>
              <w:spacing w:line="276" w:lineRule="auto"/>
              <w:jc w:val="center"/>
              <w:rPr>
                <w:rFonts w:cs="Times New Roman"/>
                <w:sz w:val="20"/>
                <w:szCs w:val="20"/>
              </w:rPr>
            </w:pPr>
            <w:sdt>
              <w:sdtPr>
                <w:rPr>
                  <w:rFonts w:cs="Times New Roman"/>
                  <w:sz w:val="20"/>
                  <w:szCs w:val="20"/>
                </w:rPr>
                <w:id w:val="191663368"/>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yPEO</w:t>
            </w:r>
            <w:r w:rsidRPr="00F45A62">
              <w:rPr>
                <w:rFonts w:cs="Times New Roman"/>
                <w:sz w:val="20"/>
                <w:szCs w:val="20"/>
              </w:rPr>
              <w:t>-C</w:t>
            </w:r>
            <w:r w:rsidRPr="00F45A62">
              <w:rPr>
                <w:rFonts w:cs="Times New Roman"/>
                <w:sz w:val="20"/>
                <w:szCs w:val="20"/>
                <w:vertAlign w:val="subscript"/>
              </w:rPr>
              <w:t>yPE</w:t>
            </w:r>
            <w:r w:rsidRPr="00F45A62">
              <w:rPr>
                <w:rFonts w:cs="Times New Roman"/>
                <w:sz w:val="20"/>
                <w:szCs w:val="20"/>
              </w:rPr>
              <w:t>O-H</w:t>
            </w:r>
            <w:r w:rsidRPr="00F45A62">
              <w:rPr>
                <w:rFonts w:cs="Times New Roman"/>
                <w:sz w:val="20"/>
                <w:szCs w:val="20"/>
                <w:vertAlign w:val="subscript"/>
              </w:rPr>
              <w:t>yPEO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83.1</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B23348" w:rsidP="00B75B3F">
            <w:pPr>
              <w:pStyle w:val="NoSpacing"/>
              <w:spacing w:line="276" w:lineRule="auto"/>
              <w:jc w:val="center"/>
              <w:rPr>
                <w:rFonts w:cs="Times New Roman"/>
                <w:sz w:val="20"/>
                <w:szCs w:val="20"/>
              </w:rPr>
            </w:pPr>
            <w:sdt>
              <w:sdtPr>
                <w:rPr>
                  <w:rFonts w:cs="Times New Roman"/>
                  <w:sz w:val="20"/>
                  <w:szCs w:val="20"/>
                </w:rPr>
                <w:id w:val="191663369"/>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yPEO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93.0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B23348" w:rsidP="00B75B3F">
            <w:pPr>
              <w:pStyle w:val="NoSpacing"/>
              <w:spacing w:line="276" w:lineRule="auto"/>
              <w:jc w:val="center"/>
              <w:rPr>
                <w:rFonts w:cs="Times New Roman"/>
                <w:sz w:val="20"/>
                <w:szCs w:val="20"/>
              </w:rPr>
            </w:pPr>
            <w:sdt>
              <w:sdtPr>
                <w:rPr>
                  <w:rFonts w:cs="Times New Roman"/>
                  <w:sz w:val="20"/>
                  <w:szCs w:val="20"/>
                </w:rPr>
                <w:id w:val="191663370"/>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15"/>
          <w:jc w:val="center"/>
        </w:trPr>
        <w:tc>
          <w:tcPr>
            <w:tcW w:w="1472" w:type="pct"/>
            <w:tcBorders>
              <w:bottom w:val="nil"/>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PEO</w:t>
            </w:r>
          </w:p>
        </w:tc>
        <w:tc>
          <w:tcPr>
            <w:tcW w:w="818" w:type="pct"/>
            <w:tcBorders>
              <w:bottom w:val="nil"/>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93.0</w:t>
            </w:r>
          </w:p>
        </w:tc>
        <w:tc>
          <w:tcPr>
            <w:tcW w:w="1464" w:type="pct"/>
            <w:gridSpan w:val="2"/>
            <w:tcBorders>
              <w:bottom w:val="nil"/>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Borders>
              <w:bottom w:val="nil"/>
            </w:tcBorders>
          </w:tcPr>
          <w:p w:rsidR="00C632B4" w:rsidRPr="00230F34" w:rsidRDefault="00B23348" w:rsidP="00B75B3F">
            <w:pPr>
              <w:pStyle w:val="NoSpacing"/>
              <w:spacing w:line="276" w:lineRule="auto"/>
              <w:jc w:val="center"/>
              <w:rPr>
                <w:rFonts w:cs="Times New Roman"/>
                <w:sz w:val="20"/>
                <w:szCs w:val="20"/>
              </w:rPr>
            </w:pPr>
            <w:sdt>
              <w:sdtPr>
                <w:rPr>
                  <w:rFonts w:cs="Times New Roman"/>
                  <w:sz w:val="20"/>
                  <w:szCs w:val="20"/>
                </w:rPr>
                <w:id w:val="191663371"/>
                <w:citation/>
              </w:sdtPr>
              <w:sdtContent>
                <w:r>
                  <w:rPr>
                    <w:rFonts w:cs="Times New Roman"/>
                    <w:sz w:val="20"/>
                    <w:szCs w:val="20"/>
                  </w:rPr>
                  <w:fldChar w:fldCharType="begin"/>
                </w:r>
                <w:r w:rsidR="00B75B3F">
                  <w:rPr>
                    <w:rFonts w:cs="Times New Roman"/>
                    <w:sz w:val="20"/>
                    <w:szCs w:val="20"/>
                  </w:rPr>
                  <w:instrText xml:space="preserve"> CITATION AJ \l 1061  </w:instrText>
                </w:r>
                <w:r>
                  <w:rPr>
                    <w:rFonts w:cs="Times New Roman"/>
                    <w:sz w:val="20"/>
                    <w:szCs w:val="20"/>
                  </w:rPr>
                  <w:fldChar w:fldCharType="separate"/>
                </w:r>
                <w:r w:rsidR="005B76C8" w:rsidRPr="005B76C8">
                  <w:rPr>
                    <w:rFonts w:cs="Times New Roman"/>
                    <w:noProof/>
                    <w:sz w:val="20"/>
                    <w:szCs w:val="20"/>
                  </w:rPr>
                  <w:t>[</w:t>
                </w:r>
                <w:hyperlink w:anchor="AJ" w:history="1">
                  <w:r w:rsidR="005B76C8" w:rsidRPr="005B76C8">
                    <w:rPr>
                      <w:rStyle w:val="Heading2Char"/>
                      <w:rFonts w:eastAsiaTheme="minorEastAsia" w:cs="Times New Roman"/>
                      <w:noProof/>
                      <w:sz w:val="20"/>
                      <w:szCs w:val="20"/>
                    </w:rPr>
                    <w:t>50</w:t>
                  </w:r>
                </w:hyperlink>
                <w:r w:rsidR="005B76C8" w:rsidRPr="005B76C8">
                  <w:rPr>
                    <w:rFonts w:cs="Times New Roman"/>
                    <w:noProof/>
                    <w:sz w:val="20"/>
                    <w:szCs w:val="20"/>
                  </w:rPr>
                  <w:t>]</w:t>
                </w:r>
                <w:r>
                  <w:rPr>
                    <w:rFonts w:cs="Times New Roman"/>
                    <w:sz w:val="20"/>
                    <w:szCs w:val="20"/>
                  </w:rPr>
                  <w:fldChar w:fldCharType="end"/>
                </w:r>
              </w:sdtContent>
            </w:sdt>
          </w:p>
        </w:tc>
      </w:tr>
      <w:tr w:rsidR="00206083" w:rsidRPr="00F45A62" w:rsidTr="00986E1A">
        <w:trPr>
          <w:trHeight w:val="315"/>
          <w:jc w:val="center"/>
        </w:trPr>
        <w:tc>
          <w:tcPr>
            <w:tcW w:w="1472" w:type="pct"/>
            <w:tcBorders>
              <w:top w:val="nil"/>
              <w:bottom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F-P-F</w:t>
            </w:r>
          </w:p>
        </w:tc>
        <w:tc>
          <w:tcPr>
            <w:tcW w:w="818" w:type="pct"/>
            <w:tcBorders>
              <w:top w:val="nil"/>
              <w:bottom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200.0</w:t>
            </w:r>
          </w:p>
        </w:tc>
        <w:tc>
          <w:tcPr>
            <w:tcW w:w="1464" w:type="pct"/>
            <w:gridSpan w:val="2"/>
            <w:tcBorders>
              <w:top w:val="nil"/>
              <w:bottom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 xml:space="preserve">  90.00</w:t>
            </w:r>
          </w:p>
        </w:tc>
        <w:tc>
          <w:tcPr>
            <w:tcW w:w="1245" w:type="pct"/>
            <w:tcBorders>
              <w:top w:val="nil"/>
              <w:bottom w:val="single" w:sz="4" w:space="0" w:color="auto"/>
            </w:tcBorders>
          </w:tcPr>
          <w:p w:rsidR="00C632B4" w:rsidRPr="00F45A62" w:rsidRDefault="00B23348" w:rsidP="00B75B3F">
            <w:pPr>
              <w:pStyle w:val="NoSpacing"/>
              <w:spacing w:line="276" w:lineRule="auto"/>
              <w:jc w:val="center"/>
              <w:rPr>
                <w:rFonts w:cs="Times New Roman"/>
                <w:sz w:val="20"/>
                <w:szCs w:val="20"/>
              </w:rPr>
            </w:pPr>
            <w:sdt>
              <w:sdtPr>
                <w:rPr>
                  <w:rFonts w:cs="Times New Roman"/>
                  <w:sz w:val="20"/>
                  <w:szCs w:val="20"/>
                </w:rPr>
                <w:id w:val="3734127"/>
                <w:citation/>
              </w:sdtPr>
              <w:sdtContent>
                <w:r>
                  <w:rPr>
                    <w:rFonts w:cs="Times New Roman"/>
                    <w:sz w:val="20"/>
                    <w:szCs w:val="20"/>
                  </w:rPr>
                  <w:fldChar w:fldCharType="begin"/>
                </w:r>
                <w:r w:rsidR="00B75B3F">
                  <w:rPr>
                    <w:rFonts w:cs="Times New Roman"/>
                    <w:sz w:val="20"/>
                    <w:szCs w:val="20"/>
                  </w:rPr>
                  <w:instrText xml:space="preserve"> CITATION e \l 1061  </w:instrText>
                </w:r>
                <w:r>
                  <w:rPr>
                    <w:rFonts w:cs="Times New Roman"/>
                    <w:sz w:val="20"/>
                    <w:szCs w:val="20"/>
                  </w:rPr>
                  <w:fldChar w:fldCharType="separate"/>
                </w:r>
                <w:r w:rsidR="005B76C8" w:rsidRPr="005B76C8">
                  <w:rPr>
                    <w:rFonts w:cs="Times New Roman"/>
                    <w:noProof/>
                    <w:sz w:val="20"/>
                    <w:szCs w:val="20"/>
                  </w:rPr>
                  <w:t>[</w:t>
                </w:r>
                <w:hyperlink w:anchor="e" w:history="1">
                  <w:r w:rsidR="005B76C8" w:rsidRPr="005B76C8">
                    <w:rPr>
                      <w:rStyle w:val="Heading2Char"/>
                      <w:rFonts w:eastAsiaTheme="minorEastAsia" w:cs="Times New Roman"/>
                      <w:noProof/>
                      <w:sz w:val="20"/>
                      <w:szCs w:val="20"/>
                    </w:rPr>
                    <w:t>49</w:t>
                  </w:r>
                </w:hyperlink>
                <w:r w:rsidR="005B76C8" w:rsidRPr="005B76C8">
                  <w:rPr>
                    <w:rFonts w:cs="Times New Roman"/>
                    <w:noProof/>
                    <w:sz w:val="20"/>
                    <w:szCs w:val="20"/>
                  </w:rPr>
                  <w:t>]</w:t>
                </w:r>
                <w:r>
                  <w:rPr>
                    <w:rFonts w:cs="Times New Roman"/>
                    <w:sz w:val="20"/>
                    <w:szCs w:val="20"/>
                  </w:rPr>
                  <w:fldChar w:fldCharType="end"/>
                </w:r>
              </w:sdtContent>
            </w:sdt>
          </w:p>
        </w:tc>
      </w:tr>
    </w:tbl>
    <w:p w:rsidR="00C632B4" w:rsidRPr="00F45A62" w:rsidRDefault="00C632B4" w:rsidP="007D722A">
      <w:pPr>
        <w:pStyle w:val="NoSpacing"/>
        <w:spacing w:line="276" w:lineRule="auto"/>
        <w:jc w:val="both"/>
        <w:rPr>
          <w:rFonts w:cs="Times New Roman"/>
          <w:sz w:val="20"/>
          <w:szCs w:val="20"/>
        </w:rPr>
      </w:pPr>
    </w:p>
    <w:p w:rsidR="00C632B4" w:rsidRDefault="00C632B4" w:rsidP="0048027B">
      <w:pPr>
        <w:pStyle w:val="NoSpacing"/>
        <w:spacing w:line="276" w:lineRule="auto"/>
        <w:jc w:val="center"/>
        <w:rPr>
          <w:rFonts w:cs="Times New Roman"/>
          <w:szCs w:val="24"/>
        </w:rPr>
      </w:pPr>
      <w:r w:rsidRPr="000B41E1">
        <w:rPr>
          <w:rFonts w:cs="Times New Roman"/>
          <w:b/>
          <w:szCs w:val="24"/>
        </w:rPr>
        <w:t xml:space="preserve">Tabel </w:t>
      </w:r>
      <w:r>
        <w:rPr>
          <w:rFonts w:cs="Times New Roman"/>
          <w:b/>
          <w:szCs w:val="24"/>
        </w:rPr>
        <w:t>4</w:t>
      </w:r>
      <w:r w:rsidRPr="000B41E1">
        <w:rPr>
          <w:rFonts w:cs="Times New Roman"/>
          <w:b/>
          <w:szCs w:val="24"/>
        </w:rPr>
        <w:t>:</w:t>
      </w:r>
      <w:r>
        <w:rPr>
          <w:rFonts w:cs="Times New Roman"/>
          <w:szCs w:val="24"/>
        </w:rPr>
        <w:t xml:space="preserve"> Valents</w:t>
      </w:r>
      <w:r w:rsidRPr="00F065FB">
        <w:rPr>
          <w:rFonts w:cs="Times New Roman"/>
          <w:szCs w:val="24"/>
        </w:rPr>
        <w:t>nur</w:t>
      </w:r>
      <w:r>
        <w:rPr>
          <w:rFonts w:cs="Times New Roman"/>
          <w:szCs w:val="24"/>
        </w:rPr>
        <w:t>k</w:t>
      </w:r>
      <w:r w:rsidRPr="00F065FB">
        <w:rPr>
          <w:rFonts w:cs="Times New Roman"/>
          <w:szCs w:val="24"/>
        </w:rPr>
        <w:t>ad</w:t>
      </w:r>
      <w:r>
        <w:rPr>
          <w:rFonts w:cs="Times New Roman"/>
          <w:szCs w:val="24"/>
        </w:rPr>
        <w:t>e</w:t>
      </w:r>
      <w:r w:rsidRPr="00F065FB">
        <w:rPr>
          <w:rFonts w:cs="Times New Roman"/>
          <w:szCs w:val="24"/>
        </w:rPr>
        <w:t xml:space="preserve"> potentsiaal</w:t>
      </w:r>
      <w:r>
        <w:rPr>
          <w:rFonts w:cs="Times New Roman"/>
          <w:szCs w:val="24"/>
        </w:rPr>
        <w:t>i</w:t>
      </w:r>
      <w:r w:rsidRPr="00F065FB">
        <w:rPr>
          <w:rFonts w:cs="Times New Roman"/>
          <w:szCs w:val="24"/>
        </w:rPr>
        <w:t>parameetrid</w:t>
      </w:r>
      <w:r>
        <w:rPr>
          <w:rFonts w:cs="Times New Roman"/>
          <w:szCs w:val="24"/>
        </w:rPr>
        <w:t>.</w:t>
      </w:r>
    </w:p>
    <w:p w:rsidR="00C632B4" w:rsidRDefault="00C632B4" w:rsidP="007D722A">
      <w:pPr>
        <w:pStyle w:val="Heading3"/>
      </w:pPr>
      <w:bookmarkStart w:id="71" w:name="_Toc231118076"/>
      <w:bookmarkStart w:id="72" w:name="_Toc321348222"/>
      <w:bookmarkStart w:id="73" w:name="_Toc325224186"/>
      <w:r w:rsidRPr="00433470">
        <w:lastRenderedPageBreak/>
        <w:t>3.</w:t>
      </w:r>
      <w:r>
        <w:t>5</w:t>
      </w:r>
      <w:r w:rsidRPr="00433470">
        <w:t>.</w:t>
      </w:r>
      <w:r>
        <w:t>4.</w:t>
      </w:r>
      <w:r w:rsidRPr="00433470">
        <w:t xml:space="preserve">  Dihedraalnurgad</w:t>
      </w:r>
      <w:bookmarkEnd w:id="71"/>
      <w:bookmarkEnd w:id="72"/>
      <w:bookmarkEnd w:id="73"/>
    </w:p>
    <w:p w:rsidR="00C632B4" w:rsidRDefault="00C632B4" w:rsidP="007D722A">
      <w:r>
        <w:t>Dihedraalnurk on n</w:t>
      </w:r>
      <w:r w:rsidR="00045AE8">
        <w:t>urk kahe tasandi vahel (joonis 9</w:t>
      </w:r>
      <w:r>
        <w:t>), kus ühe tasandi määravad aatomid 1, 2 ja 3 ning teise tasandi aatomid 2,  3 ja 4</w:t>
      </w:r>
      <w:r w:rsidR="0048027B">
        <w:t xml:space="preserve"> </w:t>
      </w:r>
      <w:r>
        <w:t>nelja järjestikuse aatomi korral</w:t>
      </w:r>
      <w:r w:rsidR="00C6371D">
        <w:t xml:space="preserve"> </w:t>
      </w:r>
      <w:sdt>
        <w:sdtPr>
          <w:id w:val="328775"/>
          <w:citation/>
        </w:sdtPr>
        <w:sdtContent>
          <w:fldSimple w:instr=" CITATION AC \l 1061 ">
            <w:r w:rsidR="005B76C8">
              <w:rPr>
                <w:noProof/>
              </w:rPr>
              <w:t>[</w:t>
            </w:r>
            <w:hyperlink w:anchor="AC" w:history="1">
              <w:r w:rsidR="005B76C8" w:rsidRPr="005B76C8">
                <w:rPr>
                  <w:rStyle w:val="Heading2Char"/>
                  <w:rFonts w:eastAsiaTheme="minorHAnsi" w:cstheme="minorBidi"/>
                  <w:noProof/>
                  <w:sz w:val="24"/>
                  <w:szCs w:val="22"/>
                </w:rPr>
                <w:t>51</w:t>
              </w:r>
            </w:hyperlink>
            <w:r w:rsidR="005B76C8">
              <w:rPr>
                <w:noProof/>
              </w:rPr>
              <w:t>]</w:t>
            </w:r>
          </w:fldSimple>
        </w:sdtContent>
      </w:sdt>
      <w:r>
        <w:t>.</w:t>
      </w:r>
    </w:p>
    <w:p w:rsidR="00C632B4" w:rsidRDefault="00C632B4" w:rsidP="003476AF">
      <w:pPr>
        <w:jc w:val="center"/>
      </w:pPr>
      <w:r>
        <w:rPr>
          <w:noProof/>
          <w:lang w:eastAsia="et-EE"/>
        </w:rPr>
        <w:drawing>
          <wp:inline distT="0" distB="0" distL="0" distR="0">
            <wp:extent cx="2982942" cy="1604201"/>
            <wp:effectExtent l="19050" t="0" r="790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632B4" w:rsidRDefault="00C632B4" w:rsidP="007D722A">
      <w:r w:rsidRPr="000B41E1">
        <w:rPr>
          <w:b/>
        </w:rPr>
        <w:t xml:space="preserve">Joonis </w:t>
      </w:r>
      <w:r w:rsidR="00045AE8">
        <w:rPr>
          <w:b/>
        </w:rPr>
        <w:t>9</w:t>
      </w:r>
      <w:r w:rsidRPr="000B41E1">
        <w:rPr>
          <w:b/>
        </w:rPr>
        <w:t>:</w:t>
      </w:r>
      <w:r>
        <w:t xml:space="preserve"> 4 aatomite vaheline dihedraalnurk </w:t>
      </w:r>
      <m:oMath>
        <m:r>
          <w:rPr>
            <w:rFonts w:ascii="Cambria Math" w:hAnsi="Cambria Math"/>
          </w:rPr>
          <m:t>φ</m:t>
        </m:r>
      </m:oMath>
      <w:r>
        <w:t>.</w:t>
      </w:r>
    </w:p>
    <w:p w:rsidR="00C632B4" w:rsidRDefault="00C632B4" w:rsidP="003476AF">
      <w:pPr>
        <w:jc w:val="center"/>
      </w:pPr>
      <w:r>
        <w:t>Käesolevas töös kirjelda</w:t>
      </w:r>
      <w:r w:rsidR="0048027B">
        <w:t>vad</w:t>
      </w:r>
      <w:r>
        <w:t xml:space="preserve"> torsioonenergiast tulenevaid interaktsioone järgmised avaldised: </w:t>
      </w: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hAnsi="Cambria Math"/>
          </w:rPr>
          <m:t>+</m:t>
        </m:r>
      </m:oMath>
    </w:p>
    <w:p w:rsidR="00C632B4" w:rsidRDefault="00B23348" w:rsidP="003476AF">
      <w:pPr>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5</m:t>
            </m:r>
          </m:sub>
        </m:sSub>
        <m:r>
          <m:rPr>
            <m:sty m:val="p"/>
          </m:rPr>
          <w:rPr>
            <w:rFonts w:ascii="Cambria Math" w:hAnsi="Cambria Math"/>
          </w:rPr>
          <m:t>sin</m:t>
        </m:r>
        <m:d>
          <m:dPr>
            <m:ctrlPr>
              <w:rPr>
                <w:rFonts w:ascii="Cambria Math" w:hAnsi="Cambria Math"/>
              </w:rPr>
            </m:ctrlPr>
          </m:dPr>
          <m:e>
            <m:r>
              <m:rPr>
                <m:sty m:val="p"/>
              </m:rPr>
              <w:rPr>
                <w:rFonts w:ascii="Cambria Math" w:hAnsi="Cambria Math"/>
              </w:rPr>
              <m:t>2</m:t>
            </m:r>
            <m: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6</m:t>
            </m:r>
          </m:sub>
        </m:sSub>
        <m:r>
          <m:rPr>
            <m:sty m:val="p"/>
          </m:rPr>
          <w:rPr>
            <w:rFonts w:ascii="Cambria Math" w:hAnsi="Cambria Math"/>
          </w:rPr>
          <m:t>cos</m:t>
        </m:r>
        <m:d>
          <m:dPr>
            <m:ctrlPr>
              <w:rPr>
                <w:rFonts w:ascii="Cambria Math" w:hAnsi="Cambria Math"/>
              </w:rPr>
            </m:ctrlPr>
          </m:dPr>
          <m:e>
            <m:r>
              <m:rPr>
                <m:sty m:val="p"/>
              </m:rPr>
              <w:rPr>
                <w:rFonts w:ascii="Cambria Math" w:hAnsi="Cambria Math"/>
              </w:rPr>
              <m:t>3</m:t>
            </m:r>
            <m:r>
              <w:rPr>
                <w:rFonts w:ascii="Cambria Math" w:hAnsi="Cambria Math"/>
              </w:rPr>
              <m:t>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5</m:t>
            </m:r>
          </m:sub>
        </m:sSub>
        <m:r>
          <m:rPr>
            <m:sty m:val="p"/>
          </m:rPr>
          <w:rPr>
            <w:rFonts w:ascii="Cambria Math" w:hAnsi="Cambria Math"/>
          </w:rPr>
          <m:t>sin</m:t>
        </m:r>
        <m:d>
          <m:dPr>
            <m:ctrlPr>
              <w:rPr>
                <w:rFonts w:ascii="Cambria Math" w:hAnsi="Cambria Math"/>
              </w:rPr>
            </m:ctrlPr>
          </m:dPr>
          <m:e>
            <m:r>
              <m:rPr>
                <m:sty m:val="p"/>
              </m:rPr>
              <w:rPr>
                <w:rFonts w:ascii="Cambria Math" w:hAnsi="Cambria Math"/>
              </w:rPr>
              <m:t>3</m:t>
            </m:r>
            <m:r>
              <w:rPr>
                <w:rFonts w:ascii="Cambria Math" w:hAnsi="Cambria Math"/>
              </w:rPr>
              <m:t>φ</m:t>
            </m:r>
          </m:e>
        </m:d>
      </m:oMath>
      <w:r w:rsidR="009C4AFC">
        <w:t xml:space="preserve">      (1</w:t>
      </w:r>
      <w:r w:rsidR="003B2430">
        <w:t>8</w:t>
      </w:r>
      <w:r w:rsidR="00C632B4">
        <w:t>)</w:t>
      </w:r>
    </w:p>
    <w:p w:rsidR="00C632B4" w:rsidRDefault="00B23348" w:rsidP="003476AF">
      <w:pPr>
        <w:jc w:val="center"/>
      </w:pPr>
      <m:oMath>
        <m:sSub>
          <m:sSubPr>
            <m:ctrlPr>
              <w:rPr>
                <w:rFonts w:ascii="Cambria Math" w:hAnsi="Cambria Math"/>
              </w:rPr>
            </m:ctrlPr>
          </m:sSubPr>
          <m:e>
            <m:r>
              <w:rPr>
                <w:rFonts w:ascii="Cambria Math" w:hAnsi="Cambria Math"/>
              </w:rPr>
              <m:t>V</m:t>
            </m:r>
          </m:e>
          <m:sub>
            <m:r>
              <w:rPr>
                <w:rFonts w:ascii="Cambria Math" w:hAnsi="Cambria Math"/>
              </w:rPr>
              <m:t>dih</m:t>
            </m:r>
          </m:sub>
        </m:sSub>
        <m:d>
          <m:dPr>
            <m:ctrlPr>
              <w:rPr>
                <w:rFonts w:ascii="Cambria Math" w:hAnsi="Cambria Math"/>
              </w:rPr>
            </m:ctrlPr>
          </m:dPr>
          <m:e>
            <m:r>
              <w:rPr>
                <w:rFonts w:ascii="Cambria Math" w:hAnsi="Cambria Math"/>
              </w:rPr>
              <m:t>φ</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K</m:t>
                </m:r>
              </m:e>
              <m:sub>
                <m:r>
                  <w:rPr>
                    <w:rFonts w:ascii="Cambria Math" w:hAnsi="Cambria Math"/>
                  </w:rPr>
                  <m:t>n</m:t>
                </m:r>
              </m:sub>
            </m:sSub>
          </m:e>
        </m:nary>
        <m:sSup>
          <m:sSupPr>
            <m:ctrlPr>
              <w:rPr>
                <w:rFonts w:ascii="Cambria Math" w:hAnsi="Cambria Math"/>
              </w:rPr>
            </m:ctrlPr>
          </m:sSupPr>
          <m:e>
            <m:r>
              <m:rPr>
                <m:sty m:val="p"/>
              </m:rPr>
              <w:rPr>
                <w:rFonts w:ascii="Cambria Math" w:hAnsi="Cambria Math"/>
              </w:rPr>
              <m:t>(-1)</m:t>
            </m:r>
          </m:e>
          <m:sup>
            <m:r>
              <w:rPr>
                <w:rFonts w:ascii="Cambria Math" w:hAnsi="Cambria Math"/>
              </w:rPr>
              <m:t>n</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cos</m:t>
            </m:r>
          </m:e>
          <m:sup>
            <m:r>
              <w:rPr>
                <w:rFonts w:ascii="Cambria Math" w:hAnsi="Cambria Math"/>
              </w:rPr>
              <m:t>n</m:t>
            </m:r>
          </m:sup>
        </m:sSup>
        <m:r>
          <m:rPr>
            <m:sty m:val="p"/>
          </m:rPr>
          <w:rPr>
            <w:rFonts w:ascii="Cambria Math" w:hAnsi="Cambria Math"/>
          </w:rPr>
          <m:t xml:space="preserve"> </m:t>
        </m:r>
        <m:r>
          <w:rPr>
            <w:rFonts w:ascii="Cambria Math" w:hAnsi="Cambria Math"/>
          </w:rPr>
          <m:t>φ</m:t>
        </m:r>
      </m:oMath>
      <w:r w:rsidR="00C632B4">
        <w:t xml:space="preserve">                              (</w:t>
      </w:r>
      <w:r w:rsidR="003B2430">
        <w:t>19</w:t>
      </w:r>
      <w:r w:rsidR="00C632B4">
        <w:t>)</w:t>
      </w:r>
    </w:p>
    <w:p w:rsidR="00C632B4" w:rsidRDefault="00B23348" w:rsidP="003476AF">
      <w:pPr>
        <w:jc w:val="center"/>
        <w:rPr>
          <w:sz w:val="28"/>
          <w:szCs w:val="28"/>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rPr>
            </m:ctrlPr>
          </m:dPr>
          <m:e>
            <m:r>
              <w:rPr>
                <w:rFonts w:ascii="Cambria Math" w:hAnsi="Cambria Math"/>
              </w:rPr>
              <m:t>φ</m:t>
            </m:r>
          </m:e>
        </m:d>
        <m:r>
          <m:rPr>
            <m:sty m:val="p"/>
          </m:rPr>
          <w:rPr>
            <w:rFonts w:ascii="Cambria Math" w:hAnsi="Cambria Math"/>
          </w:rPr>
          <m:t>=</m:t>
        </m:r>
        <m:r>
          <w:rPr>
            <w:rFonts w:ascii="Cambria Math" w:hAnsi="Cambria Math"/>
          </w:rPr>
          <m:t xml:space="preserve">0.156 </m:t>
        </m:r>
        <m:d>
          <m:dPr>
            <m:begChr m:val="["/>
            <m:endChr m:val="]"/>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3</m:t>
                    </m:r>
                    <m:r>
                      <w:rPr>
                        <w:rFonts w:ascii="Cambria Math" w:hAnsi="Cambria Math"/>
                      </w:rPr>
                      <m:t>φ</m:t>
                    </m:r>
                  </m:e>
                </m:d>
              </m:e>
            </m:func>
          </m:e>
        </m:d>
      </m:oMath>
      <w:r w:rsidR="00C632B4">
        <w:rPr>
          <w:sz w:val="28"/>
          <w:szCs w:val="28"/>
        </w:rPr>
        <w:t xml:space="preserve">                           </w:t>
      </w:r>
      <w:r w:rsidR="003B2430">
        <w:t>(20</w:t>
      </w:r>
      <w:r w:rsidR="00C632B4" w:rsidRPr="00FB7120">
        <w:t>)</w:t>
      </w:r>
    </w:p>
    <w:p w:rsidR="00C632B4" w:rsidRDefault="00C632B4" w:rsidP="007D722A">
      <w:r w:rsidRPr="00DD7CBC">
        <w:rPr>
          <w:i/>
        </w:rPr>
        <w:t>K</w:t>
      </w:r>
      <w:r>
        <w:t xml:space="preserve"> – jõukonstant(</w:t>
      </w:r>
      <w:r>
        <w:rPr>
          <w:i/>
        </w:rPr>
        <w:t>kcal mol</w:t>
      </w:r>
      <w:r>
        <w:rPr>
          <w:i/>
          <w:vertAlign w:val="superscript"/>
        </w:rPr>
        <w:t>-1</w:t>
      </w:r>
      <w:r>
        <w:t>);</w:t>
      </w:r>
      <w:r w:rsidRPr="00B33112">
        <w:t xml:space="preserve"> </w:t>
      </w:r>
      <w:r>
        <w:t xml:space="preserve"> </w:t>
      </w:r>
      <m:oMath>
        <m:r>
          <w:rPr>
            <w:rFonts w:ascii="Cambria Math" w:hAnsi="Cambria Math"/>
          </w:rPr>
          <m:t>φ</m:t>
        </m:r>
      </m:oMath>
      <w:r>
        <w:t xml:space="preserve"> - </w:t>
      </w:r>
      <w:r w:rsidR="0048027B">
        <w:t>dihedraal</w:t>
      </w:r>
      <w:r>
        <w:t>nurk (</w:t>
      </w:r>
      <w:r w:rsidRPr="00215D7B">
        <w:rPr>
          <w:i/>
        </w:rPr>
        <w:t>d</w:t>
      </w:r>
      <w:r w:rsidR="0048027B">
        <w:rPr>
          <w:i/>
        </w:rPr>
        <w:t>eg</w:t>
      </w:r>
      <w:r>
        <w:t>).</w:t>
      </w:r>
    </w:p>
    <w:p w:rsidR="00C632B4" w:rsidRDefault="009C4AFC" w:rsidP="007D722A">
      <w:r>
        <w:t xml:space="preserve">Avaldiste </w:t>
      </w:r>
      <w:r w:rsidR="00C75536">
        <w:t>1</w:t>
      </w:r>
      <w:r w:rsidR="003B2430">
        <w:t>8</w:t>
      </w:r>
      <w:r w:rsidR="00C75536">
        <w:t>, 1</w:t>
      </w:r>
      <w:r w:rsidR="003B2430">
        <w:t>9</w:t>
      </w:r>
      <w:r w:rsidR="00C632B4">
        <w:t xml:space="preserve"> järgi arvutatud dihedraalnurkade potentsiaali parameetrid on tabelis 5. Kõigi teiste dihedraalnurkade potentsiaalsed nurgad arvutatakse </w:t>
      </w:r>
      <w:r w:rsidR="003B2430">
        <w:t>avaldise 20</w:t>
      </w:r>
      <w:r w:rsidR="00C632B4">
        <w:t xml:space="preserve"> järgi</w:t>
      </w:r>
      <w:r w:rsidR="00C6371D">
        <w:t xml:space="preserve"> </w:t>
      </w:r>
      <w:sdt>
        <w:sdtPr>
          <w:id w:val="328776"/>
          <w:citation/>
        </w:sdtPr>
        <w:sdtContent>
          <w:fldSimple w:instr=" CITATION V \l 1061  ">
            <w:r w:rsidR="005B76C8">
              <w:rPr>
                <w:noProof/>
              </w:rPr>
              <w:t>[</w:t>
            </w:r>
            <w:hyperlink w:anchor="V" w:history="1">
              <w:r w:rsidR="005B76C8" w:rsidRPr="005B76C8">
                <w:rPr>
                  <w:rStyle w:val="Heading2Char"/>
                  <w:rFonts w:eastAsiaTheme="minorHAnsi" w:cstheme="minorBidi"/>
                  <w:noProof/>
                  <w:sz w:val="24"/>
                  <w:szCs w:val="22"/>
                </w:rPr>
                <w:t>34</w:t>
              </w:r>
            </w:hyperlink>
            <w:r w:rsidR="005B76C8">
              <w:rPr>
                <w:noProof/>
              </w:rPr>
              <w:t>]</w:t>
            </w:r>
          </w:fldSimple>
        </w:sdtContent>
      </w:sdt>
      <w:r w:rsidR="00C632B4">
        <w:t>.</w:t>
      </w:r>
    </w:p>
    <w:tbl>
      <w:tblPr>
        <w:tblStyle w:val="TableGrid"/>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942"/>
        <w:gridCol w:w="1111"/>
        <w:gridCol w:w="1134"/>
        <w:gridCol w:w="1263"/>
        <w:gridCol w:w="296"/>
        <w:gridCol w:w="1134"/>
        <w:gridCol w:w="252"/>
        <w:gridCol w:w="750"/>
      </w:tblGrid>
      <w:tr w:rsidR="00C632B4" w:rsidRPr="00F45A62" w:rsidTr="006628B0">
        <w:trPr>
          <w:trHeight w:val="453"/>
          <w:jc w:val="center"/>
        </w:trPr>
        <w:tc>
          <w:tcPr>
            <w:tcW w:w="2211" w:type="dxa"/>
            <w:tcBorders>
              <w:top w:val="single" w:sz="4" w:space="0" w:color="auto"/>
              <w:left w:val="nil"/>
              <w:bottom w:val="single" w:sz="4" w:space="0" w:color="auto"/>
              <w:right w:val="nil"/>
            </w:tcBorders>
          </w:tcPr>
          <w:p w:rsidR="00C632B4" w:rsidRPr="00F45A62" w:rsidRDefault="00C632B4" w:rsidP="00350D02">
            <w:pPr>
              <w:pStyle w:val="NoSpacing"/>
              <w:spacing w:line="276" w:lineRule="auto"/>
              <w:jc w:val="center"/>
              <w:rPr>
                <w:sz w:val="20"/>
                <w:szCs w:val="20"/>
              </w:rPr>
            </w:pPr>
            <w:r w:rsidRPr="00F45A62">
              <w:rPr>
                <w:sz w:val="20"/>
                <w:szCs w:val="20"/>
              </w:rPr>
              <w:t>Dihedraalnurga tüübid</w:t>
            </w:r>
          </w:p>
        </w:tc>
        <w:tc>
          <w:tcPr>
            <w:tcW w:w="942" w:type="dxa"/>
            <w:tcBorders>
              <w:top w:val="single" w:sz="4" w:space="0" w:color="auto"/>
              <w:left w:val="nil"/>
              <w:bottom w:val="single" w:sz="4" w:space="0" w:color="auto"/>
              <w:right w:val="nil"/>
            </w:tcBorders>
          </w:tcPr>
          <w:p w:rsidR="00C632B4" w:rsidRPr="00F45A62" w:rsidRDefault="00C632B4" w:rsidP="007D722A">
            <w:pPr>
              <w:pStyle w:val="NoSpacing"/>
              <w:spacing w:line="276" w:lineRule="auto"/>
              <w:jc w:val="both"/>
              <w:rPr>
                <w:sz w:val="20"/>
                <w:szCs w:val="20"/>
              </w:rPr>
            </w:pPr>
            <w:r>
              <w:rPr>
                <w:sz w:val="20"/>
                <w:szCs w:val="20"/>
              </w:rPr>
              <w:t>Avaldis</w:t>
            </w:r>
          </w:p>
        </w:tc>
        <w:tc>
          <w:tcPr>
            <w:tcW w:w="1111" w:type="dxa"/>
            <w:tcBorders>
              <w:top w:val="single" w:sz="4" w:space="0" w:color="auto"/>
              <w:left w:val="nil"/>
              <w:bottom w:val="single" w:sz="4" w:space="0" w:color="auto"/>
              <w:right w:val="nil"/>
            </w:tcBorders>
          </w:tcPr>
          <w:p w:rsidR="00C632B4" w:rsidRPr="00F45A62" w:rsidRDefault="00C632B4" w:rsidP="00886123">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1</w:t>
            </w:r>
          </w:p>
          <w:p w:rsidR="00C632B4" w:rsidRPr="00F45A62" w:rsidRDefault="00C632B4" w:rsidP="00886123">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134" w:type="dxa"/>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3</w:t>
            </w:r>
          </w:p>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4</w:t>
            </w:r>
          </w:p>
        </w:tc>
        <w:tc>
          <w:tcPr>
            <w:tcW w:w="1559" w:type="dxa"/>
            <w:gridSpan w:val="2"/>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5</w:t>
            </w:r>
          </w:p>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1134" w:type="dxa"/>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7</w:t>
            </w:r>
          </w:p>
          <w:p w:rsidR="00C632B4" w:rsidRPr="00F45A62" w:rsidRDefault="00C632B4" w:rsidP="006628B0">
            <w:pPr>
              <w:pStyle w:val="NoSpacing"/>
              <w:spacing w:line="276" w:lineRule="auto"/>
              <w:jc w:val="center"/>
              <w:rPr>
                <w:sz w:val="20"/>
                <w:szCs w:val="20"/>
              </w:rPr>
            </w:pPr>
          </w:p>
        </w:tc>
        <w:tc>
          <w:tcPr>
            <w:tcW w:w="1002" w:type="dxa"/>
            <w:gridSpan w:val="2"/>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rPr>
            </w:pPr>
            <w:r w:rsidRPr="00F45A62">
              <w:rPr>
                <w:sz w:val="20"/>
                <w:szCs w:val="20"/>
              </w:rPr>
              <w:t>Viide</w:t>
            </w:r>
          </w:p>
        </w:tc>
      </w:tr>
      <w:tr w:rsidR="00C632B4" w:rsidRPr="00F45A62" w:rsidTr="006628B0">
        <w:trPr>
          <w:trHeight w:val="306"/>
          <w:jc w:val="center"/>
        </w:trPr>
        <w:tc>
          <w:tcPr>
            <w:tcW w:w="2211" w:type="dxa"/>
            <w:tcBorders>
              <w:top w:val="single" w:sz="4" w:space="0" w:color="auto"/>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p>
        </w:tc>
        <w:tc>
          <w:tcPr>
            <w:tcW w:w="942" w:type="dxa"/>
            <w:tcBorders>
              <w:top w:val="single" w:sz="4" w:space="0" w:color="auto"/>
              <w:left w:val="nil"/>
              <w:bottom w:val="nil"/>
              <w:right w:val="nil"/>
            </w:tcBorders>
          </w:tcPr>
          <w:p w:rsidR="00C632B4" w:rsidRPr="00F45A62" w:rsidRDefault="003B2430" w:rsidP="00886123">
            <w:pPr>
              <w:pStyle w:val="NoSpacing"/>
              <w:spacing w:line="276" w:lineRule="auto"/>
              <w:jc w:val="center"/>
              <w:rPr>
                <w:sz w:val="20"/>
                <w:szCs w:val="20"/>
              </w:rPr>
            </w:pPr>
            <w:r>
              <w:rPr>
                <w:sz w:val="20"/>
                <w:szCs w:val="20"/>
              </w:rPr>
              <w:t>1</w:t>
            </w:r>
            <w:r w:rsidR="00C632B4" w:rsidRPr="00F45A62">
              <w:rPr>
                <w:sz w:val="20"/>
                <w:szCs w:val="20"/>
              </w:rPr>
              <w:t>8</w:t>
            </w:r>
          </w:p>
        </w:tc>
        <w:tc>
          <w:tcPr>
            <w:tcW w:w="1111" w:type="dxa"/>
            <w:tcBorders>
              <w:top w:val="single" w:sz="4" w:space="0" w:color="auto"/>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2.565636</w:t>
            </w:r>
          </w:p>
          <w:p w:rsidR="00C632B4" w:rsidRPr="00F45A62" w:rsidRDefault="00C632B4" w:rsidP="007D722A">
            <w:pPr>
              <w:pStyle w:val="NoSpacing"/>
              <w:spacing w:line="276" w:lineRule="auto"/>
              <w:jc w:val="both"/>
              <w:rPr>
                <w:sz w:val="20"/>
                <w:szCs w:val="20"/>
              </w:rPr>
            </w:pPr>
            <w:r w:rsidRPr="00F45A62">
              <w:rPr>
                <w:sz w:val="20"/>
                <w:szCs w:val="20"/>
              </w:rPr>
              <w:t>0.911991</w:t>
            </w:r>
          </w:p>
        </w:tc>
        <w:tc>
          <w:tcPr>
            <w:tcW w:w="1134" w:type="dxa"/>
            <w:tcBorders>
              <w:top w:val="single" w:sz="4" w:space="0" w:color="auto"/>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0.205438</w:t>
            </w:r>
          </w:p>
          <w:p w:rsidR="00C632B4" w:rsidRPr="00F45A62" w:rsidRDefault="00C632B4" w:rsidP="00886123">
            <w:pPr>
              <w:pStyle w:val="NoSpacing"/>
              <w:spacing w:line="276" w:lineRule="auto"/>
              <w:jc w:val="right"/>
              <w:rPr>
                <w:sz w:val="20"/>
                <w:szCs w:val="20"/>
              </w:rPr>
            </w:pPr>
            <w:r w:rsidRPr="00F45A62">
              <w:rPr>
                <w:sz w:val="20"/>
                <w:szCs w:val="20"/>
              </w:rPr>
              <w:t>-0.112785</w:t>
            </w:r>
          </w:p>
        </w:tc>
        <w:tc>
          <w:tcPr>
            <w:tcW w:w="1263" w:type="dxa"/>
            <w:tcBorders>
              <w:top w:val="single" w:sz="4" w:space="0" w:color="auto"/>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-1.009894</w:t>
            </w:r>
          </w:p>
          <w:p w:rsidR="00C632B4" w:rsidRPr="00F45A62" w:rsidRDefault="00C632B4" w:rsidP="00886123">
            <w:pPr>
              <w:pStyle w:val="NoSpacing"/>
              <w:spacing w:line="276" w:lineRule="auto"/>
              <w:jc w:val="right"/>
              <w:rPr>
                <w:sz w:val="20"/>
                <w:szCs w:val="20"/>
              </w:rPr>
            </w:pPr>
            <w:r w:rsidRPr="00F45A62">
              <w:rPr>
                <w:sz w:val="20"/>
                <w:szCs w:val="20"/>
              </w:rPr>
              <w:t>1.100081</w:t>
            </w:r>
          </w:p>
        </w:tc>
        <w:tc>
          <w:tcPr>
            <w:tcW w:w="1682" w:type="dxa"/>
            <w:gridSpan w:val="3"/>
            <w:tcBorders>
              <w:top w:val="single" w:sz="4" w:space="0" w:color="auto"/>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0.358764</w:t>
            </w:r>
          </w:p>
        </w:tc>
        <w:tc>
          <w:tcPr>
            <w:tcW w:w="750" w:type="dxa"/>
            <w:tcBorders>
              <w:top w:val="single" w:sz="4" w:space="0" w:color="auto"/>
              <w:left w:val="nil"/>
              <w:bottom w:val="nil"/>
              <w:right w:val="nil"/>
            </w:tcBorders>
          </w:tcPr>
          <w:p w:rsidR="00C632B4" w:rsidRPr="00F45A62" w:rsidRDefault="00B23348" w:rsidP="00B75B3F">
            <w:sdt>
              <w:sdtPr>
                <w:id w:val="3734173"/>
                <w:citation/>
              </w:sdtPr>
              <w:sdtContent>
                <w:fldSimple w:instr=" CITATION b \l 1061  ">
                  <w:r w:rsidR="005B76C8">
                    <w:rPr>
                      <w:noProof/>
                    </w:rPr>
                    <w:t>[</w:t>
                  </w:r>
                  <w:hyperlink w:anchor="b" w:history="1">
                    <w:r w:rsidR="005B76C8" w:rsidRPr="005B76C8">
                      <w:rPr>
                        <w:rStyle w:val="Heading2Char"/>
                        <w:rFonts w:eastAsiaTheme="minorHAnsi" w:cstheme="minorBidi"/>
                        <w:noProof/>
                        <w:sz w:val="22"/>
                        <w:szCs w:val="22"/>
                      </w:rPr>
                      <w:t>38</w:t>
                    </w:r>
                  </w:hyperlink>
                  <w:r w:rsidR="005B76C8">
                    <w:rPr>
                      <w:noProof/>
                    </w:rPr>
                    <w:t>]</w:t>
                  </w:r>
                </w:fldSimple>
              </w:sdtContent>
            </w:sdt>
            <w:r w:rsidR="00C632B4" w:rsidRPr="00F45A62">
              <w:t xml:space="preserve"> </w:t>
            </w:r>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3B2430" w:rsidP="00886123">
            <w:pPr>
              <w:pStyle w:val="NoSpacing"/>
              <w:spacing w:line="276" w:lineRule="auto"/>
              <w:jc w:val="center"/>
              <w:rPr>
                <w:sz w:val="20"/>
                <w:szCs w:val="20"/>
              </w:rPr>
            </w:pPr>
            <w:r>
              <w:rPr>
                <w:sz w:val="20"/>
                <w:szCs w:val="20"/>
              </w:rPr>
              <w:t>1</w:t>
            </w:r>
            <w:r w:rsidR="00C632B4"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B23348" w:rsidP="007D722A">
            <w:sdt>
              <w:sdtPr>
                <w:id w:val="3734159"/>
                <w:citation/>
              </w:sdtPr>
              <w:sdtContent>
                <w:fldSimple w:instr=" CITATION c \l 1061 ">
                  <w:r w:rsidR="005B76C8">
                    <w:rPr>
                      <w:noProof/>
                    </w:rPr>
                    <w:t>[</w:t>
                  </w:r>
                  <w:hyperlink w:anchor="c" w:history="1">
                    <w:r w:rsidR="005B76C8" w:rsidRPr="005B76C8">
                      <w:rPr>
                        <w:rStyle w:val="Heading2Char"/>
                        <w:rFonts w:eastAsiaTheme="minorHAnsi" w:cstheme="minorBidi"/>
                        <w:noProof/>
                        <w:sz w:val="22"/>
                        <w:szCs w:val="22"/>
                      </w:rPr>
                      <w:t>48</w:t>
                    </w:r>
                  </w:hyperlink>
                  <w:r w:rsidR="005B76C8">
                    <w:rPr>
                      <w:noProof/>
                    </w:rPr>
                    <w:t>]</w:t>
                  </w:r>
                </w:fldSimple>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3B2430" w:rsidP="00886123">
            <w:pPr>
              <w:pStyle w:val="NoSpacing"/>
              <w:spacing w:line="276" w:lineRule="auto"/>
              <w:jc w:val="center"/>
              <w:rPr>
                <w:sz w:val="20"/>
                <w:szCs w:val="20"/>
              </w:rPr>
            </w:pPr>
            <w:r>
              <w:rPr>
                <w:sz w:val="20"/>
                <w:szCs w:val="20"/>
              </w:rPr>
              <w:t>1</w:t>
            </w:r>
            <w:r w:rsidR="00C632B4"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B23348" w:rsidP="007D722A">
            <w:sdt>
              <w:sdtPr>
                <w:id w:val="3734160"/>
                <w:citation/>
              </w:sdtPr>
              <w:sdtContent>
                <w:fldSimple w:instr=" CITATION c \l 1061 ">
                  <w:r w:rsidR="005B76C8">
                    <w:rPr>
                      <w:noProof/>
                    </w:rPr>
                    <w:t>[</w:t>
                  </w:r>
                  <w:hyperlink w:anchor="c" w:history="1">
                    <w:r w:rsidR="005B76C8" w:rsidRPr="005B76C8">
                      <w:rPr>
                        <w:rStyle w:val="Heading2Char"/>
                        <w:rFonts w:eastAsiaTheme="minorHAnsi" w:cstheme="minorBidi"/>
                        <w:noProof/>
                        <w:sz w:val="22"/>
                        <w:szCs w:val="22"/>
                      </w:rPr>
                      <w:t>48</w:t>
                    </w:r>
                  </w:hyperlink>
                  <w:r w:rsidR="005B76C8">
                    <w:rPr>
                      <w:noProof/>
                    </w:rPr>
                    <w:t>]</w:t>
                  </w:r>
                </w:fldSimple>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3B2430" w:rsidP="00886123">
            <w:pPr>
              <w:pStyle w:val="NoSpacing"/>
              <w:spacing w:line="276" w:lineRule="auto"/>
              <w:jc w:val="center"/>
              <w:rPr>
                <w:sz w:val="20"/>
                <w:szCs w:val="20"/>
              </w:rPr>
            </w:pPr>
            <w:r>
              <w:rPr>
                <w:sz w:val="20"/>
                <w:szCs w:val="20"/>
              </w:rPr>
              <w:t>1</w:t>
            </w:r>
            <w:r w:rsidR="00C632B4"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B23348" w:rsidP="007D722A">
            <w:sdt>
              <w:sdtPr>
                <w:id w:val="3734161"/>
                <w:citation/>
              </w:sdtPr>
              <w:sdtContent>
                <w:fldSimple w:instr=" CITATION c \l 1061 ">
                  <w:r w:rsidR="005B76C8">
                    <w:rPr>
                      <w:noProof/>
                    </w:rPr>
                    <w:t>[</w:t>
                  </w:r>
                  <w:hyperlink w:anchor="c" w:history="1">
                    <w:r w:rsidR="005B76C8" w:rsidRPr="005B76C8">
                      <w:rPr>
                        <w:rStyle w:val="Heading2Char"/>
                        <w:rFonts w:eastAsiaTheme="minorHAnsi" w:cstheme="minorBidi"/>
                        <w:noProof/>
                        <w:sz w:val="22"/>
                        <w:szCs w:val="22"/>
                      </w:rPr>
                      <w:t>48</w:t>
                    </w:r>
                  </w:hyperlink>
                  <w:r w:rsidR="005B76C8">
                    <w:rPr>
                      <w:noProof/>
                    </w:rPr>
                    <w:t>]</w:t>
                  </w:r>
                </w:fldSimple>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C632B4" w:rsidRPr="00F45A62" w:rsidRDefault="003B2430" w:rsidP="00886123">
            <w:pPr>
              <w:pStyle w:val="NoSpacing"/>
              <w:spacing w:line="276" w:lineRule="auto"/>
              <w:jc w:val="center"/>
              <w:rPr>
                <w:sz w:val="20"/>
                <w:szCs w:val="20"/>
              </w:rPr>
            </w:pPr>
            <w:r>
              <w:rPr>
                <w:sz w:val="20"/>
                <w:szCs w:val="20"/>
              </w:rPr>
              <w:t>1</w:t>
            </w:r>
            <w:r w:rsidR="00C632B4"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0.528204</w:t>
            </w:r>
          </w:p>
          <w:p w:rsidR="00C632B4" w:rsidRPr="00F45A62" w:rsidRDefault="00C632B4" w:rsidP="007D722A">
            <w:pPr>
              <w:pStyle w:val="NoSpacing"/>
              <w:spacing w:line="276" w:lineRule="auto"/>
              <w:jc w:val="both"/>
              <w:rPr>
                <w:sz w:val="20"/>
                <w:szCs w:val="20"/>
              </w:rPr>
            </w:pPr>
            <w:r w:rsidRPr="00F45A62">
              <w:rPr>
                <w:sz w:val="20"/>
                <w:szCs w:val="20"/>
              </w:rPr>
              <w:t>3.629221</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4.261889</w:t>
            </w:r>
          </w:p>
          <w:p w:rsidR="00C632B4" w:rsidRPr="00F45A62" w:rsidRDefault="00C632B4" w:rsidP="00886123">
            <w:pPr>
              <w:pStyle w:val="NoSpacing"/>
              <w:spacing w:line="276" w:lineRule="auto"/>
              <w:jc w:val="right"/>
              <w:rPr>
                <w:sz w:val="20"/>
                <w:szCs w:val="20"/>
              </w:rPr>
            </w:pPr>
            <w:r w:rsidRPr="00F45A62">
              <w:rPr>
                <w:sz w:val="20"/>
                <w:szCs w:val="20"/>
              </w:rPr>
              <w:t>-7.753174</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-3.312786</w:t>
            </w:r>
          </w:p>
          <w:p w:rsidR="00C632B4" w:rsidRPr="00F45A62" w:rsidRDefault="00C632B4" w:rsidP="00886123">
            <w:pPr>
              <w:pStyle w:val="NoSpacing"/>
              <w:spacing w:line="276" w:lineRule="auto"/>
              <w:jc w:val="right"/>
              <w:rPr>
                <w:sz w:val="20"/>
                <w:szCs w:val="20"/>
              </w:rPr>
            </w:pPr>
            <w:r w:rsidRPr="00F45A62">
              <w:rPr>
                <w:sz w:val="20"/>
                <w:szCs w:val="20"/>
              </w:rPr>
              <w:t>-0.284378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2.943021</w:t>
            </w:r>
          </w:p>
        </w:tc>
        <w:tc>
          <w:tcPr>
            <w:tcW w:w="750" w:type="dxa"/>
            <w:tcBorders>
              <w:top w:val="nil"/>
              <w:left w:val="nil"/>
              <w:bottom w:val="nil"/>
              <w:right w:val="nil"/>
            </w:tcBorders>
          </w:tcPr>
          <w:p w:rsidR="00C632B4" w:rsidRPr="00F45A62" w:rsidRDefault="00B23348" w:rsidP="007D722A">
            <w:sdt>
              <w:sdtPr>
                <w:id w:val="3734162"/>
                <w:citation/>
              </w:sdtPr>
              <w:sdtContent>
                <w:fldSimple w:instr=" CITATION c \l 1061 ">
                  <w:r w:rsidR="005B76C8">
                    <w:rPr>
                      <w:noProof/>
                    </w:rPr>
                    <w:t>[</w:t>
                  </w:r>
                  <w:hyperlink w:anchor="c" w:history="1">
                    <w:r w:rsidR="005B76C8" w:rsidRPr="005B76C8">
                      <w:rPr>
                        <w:rStyle w:val="Heading2Char"/>
                        <w:rFonts w:eastAsiaTheme="minorHAnsi" w:cstheme="minorBidi"/>
                        <w:noProof/>
                        <w:sz w:val="22"/>
                        <w:szCs w:val="22"/>
                      </w:rPr>
                      <w:t>48</w:t>
                    </w:r>
                  </w:hyperlink>
                  <w:r w:rsidR="005B76C8">
                    <w:rPr>
                      <w:noProof/>
                    </w:rPr>
                    <w:t>]</w:t>
                  </w:r>
                </w:fldSimple>
              </w:sdtContent>
            </w:sdt>
          </w:p>
        </w:tc>
      </w:tr>
      <w:tr w:rsidR="00C632B4" w:rsidRPr="00F45A62" w:rsidTr="006628B0">
        <w:trPr>
          <w:trHeight w:val="315"/>
          <w:jc w:val="center"/>
        </w:trPr>
        <w:tc>
          <w:tcPr>
            <w:tcW w:w="2211" w:type="dxa"/>
            <w:tcBorders>
              <w:top w:val="nil"/>
              <w:left w:val="nil"/>
              <w:bottom w:val="single" w:sz="4" w:space="0" w:color="auto"/>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mPEO</w:t>
            </w:r>
          </w:p>
        </w:tc>
        <w:tc>
          <w:tcPr>
            <w:tcW w:w="942" w:type="dxa"/>
            <w:tcBorders>
              <w:top w:val="nil"/>
              <w:left w:val="nil"/>
              <w:bottom w:val="single" w:sz="4" w:space="0" w:color="auto"/>
              <w:right w:val="nil"/>
            </w:tcBorders>
          </w:tcPr>
          <w:p w:rsidR="00C632B4" w:rsidRPr="00F45A62" w:rsidRDefault="003B2430" w:rsidP="00886123">
            <w:pPr>
              <w:pStyle w:val="NoSpacing"/>
              <w:spacing w:line="276" w:lineRule="auto"/>
              <w:jc w:val="center"/>
              <w:rPr>
                <w:sz w:val="20"/>
                <w:szCs w:val="20"/>
              </w:rPr>
            </w:pPr>
            <w:r>
              <w:rPr>
                <w:sz w:val="20"/>
                <w:szCs w:val="20"/>
              </w:rPr>
              <w:t>1</w:t>
            </w:r>
            <w:r w:rsidR="00C632B4" w:rsidRPr="00F45A62">
              <w:rPr>
                <w:sz w:val="20"/>
                <w:szCs w:val="20"/>
              </w:rPr>
              <w:t>9</w:t>
            </w:r>
          </w:p>
        </w:tc>
        <w:tc>
          <w:tcPr>
            <w:tcW w:w="1111" w:type="dxa"/>
            <w:tcBorders>
              <w:top w:val="nil"/>
              <w:left w:val="nil"/>
              <w:bottom w:val="single" w:sz="4" w:space="0" w:color="auto"/>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single" w:sz="4" w:space="0" w:color="auto"/>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single" w:sz="4" w:space="0" w:color="auto"/>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single" w:sz="4" w:space="0" w:color="auto"/>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single" w:sz="4" w:space="0" w:color="auto"/>
              <w:right w:val="nil"/>
            </w:tcBorders>
          </w:tcPr>
          <w:p w:rsidR="00C632B4" w:rsidRPr="00694139" w:rsidRDefault="00B23348" w:rsidP="007D722A">
            <w:sdt>
              <w:sdtPr>
                <w:id w:val="3734163"/>
                <w:citation/>
              </w:sdtPr>
              <w:sdtContent>
                <w:fldSimple w:instr=" CITATION c \l 1061 ">
                  <w:r w:rsidR="005B76C8">
                    <w:rPr>
                      <w:noProof/>
                    </w:rPr>
                    <w:t>[</w:t>
                  </w:r>
                  <w:hyperlink w:anchor="c" w:history="1">
                    <w:r w:rsidR="005B76C8" w:rsidRPr="005B76C8">
                      <w:rPr>
                        <w:rStyle w:val="Heading2Char"/>
                        <w:rFonts w:eastAsiaTheme="minorHAnsi" w:cstheme="minorBidi"/>
                        <w:noProof/>
                        <w:sz w:val="22"/>
                        <w:szCs w:val="22"/>
                      </w:rPr>
                      <w:t>48</w:t>
                    </w:r>
                  </w:hyperlink>
                  <w:r w:rsidR="005B76C8">
                    <w:rPr>
                      <w:noProof/>
                    </w:rPr>
                    <w:t>]</w:t>
                  </w:r>
                </w:fldSimple>
              </w:sdtContent>
            </w:sdt>
          </w:p>
        </w:tc>
      </w:tr>
    </w:tbl>
    <w:p w:rsidR="00C632B4" w:rsidRPr="005D68AF" w:rsidRDefault="00C632B4" w:rsidP="0048027B">
      <w:pPr>
        <w:jc w:val="center"/>
        <w:rPr>
          <w:iCs/>
        </w:rPr>
      </w:pPr>
      <w:r w:rsidRPr="000B41E1">
        <w:rPr>
          <w:b/>
        </w:rPr>
        <w:t xml:space="preserve">Tabel </w:t>
      </w:r>
      <w:r>
        <w:rPr>
          <w:b/>
        </w:rPr>
        <w:t>5</w:t>
      </w:r>
      <w:r w:rsidRPr="000B41E1">
        <w:rPr>
          <w:b/>
        </w:rPr>
        <w:t>:</w:t>
      </w:r>
      <w:r>
        <w:t xml:space="preserve"> Dihedraalnurkade potentsiaaliparameetrid.</w:t>
      </w:r>
    </w:p>
    <w:p w:rsidR="00C632B4" w:rsidRPr="00433470" w:rsidRDefault="00C632B4" w:rsidP="007D722A">
      <w:pPr>
        <w:pStyle w:val="Heading3"/>
      </w:pPr>
      <w:bookmarkStart w:id="74" w:name="_Toc231118077"/>
      <w:bookmarkStart w:id="75" w:name="_Toc321348223"/>
      <w:bookmarkStart w:id="76" w:name="_Toc325224187"/>
      <w:r>
        <w:lastRenderedPageBreak/>
        <w:t>3.5.5.</w:t>
      </w:r>
      <w:r w:rsidRPr="00433470">
        <w:t xml:space="preserve">  </w:t>
      </w:r>
      <w:r>
        <w:t>Van der Waalsi jõud ja elektrostaatika</w:t>
      </w:r>
      <w:bookmarkEnd w:id="74"/>
      <w:bookmarkEnd w:id="75"/>
      <w:bookmarkEnd w:id="76"/>
    </w:p>
    <w:p w:rsidR="00C632B4" w:rsidRDefault="00C632B4" w:rsidP="007D722A">
      <w:pPr>
        <w:pStyle w:val="NoSpacing"/>
        <w:spacing w:line="360" w:lineRule="auto"/>
        <w:jc w:val="both"/>
      </w:pPr>
      <w:r w:rsidRPr="00D55FC0">
        <w:t xml:space="preserve">Van der Waalsi </w:t>
      </w:r>
      <w:r>
        <w:t>ja elektrostaatilised vastasmõju potentsiaalne energia arvutatakse aatomite vahel, mis pole omavahel seotud ei keemilise, valentsnurga ega dihedraalsidemega.</w:t>
      </w:r>
      <w:r w:rsidR="00C6371D">
        <w:t xml:space="preserve"> </w:t>
      </w:r>
      <w:r>
        <w:t>Töös arvutatakse van der Waalsi potentsiaalid järgmiste avaldiste järgi</w:t>
      </w:r>
      <w:r w:rsidR="00C6371D">
        <w:t xml:space="preserve"> </w:t>
      </w:r>
      <w:sdt>
        <w:sdtPr>
          <w:id w:val="328777"/>
          <w:citation/>
        </w:sdtPr>
        <w:sdtContent>
          <w:fldSimple w:instr=" CITATION V \l 1061  ">
            <w:r w:rsidR="005B76C8">
              <w:rPr>
                <w:noProof/>
              </w:rPr>
              <w:t>[</w:t>
            </w:r>
            <w:hyperlink w:anchor="V" w:history="1">
              <w:r w:rsidR="005B76C8" w:rsidRPr="005B76C8">
                <w:rPr>
                  <w:rStyle w:val="Heading2Char"/>
                  <w:rFonts w:eastAsiaTheme="minorEastAsia" w:cstheme="minorBidi"/>
                  <w:noProof/>
                  <w:sz w:val="24"/>
                  <w:szCs w:val="22"/>
                </w:rPr>
                <w:t>34</w:t>
              </w:r>
            </w:hyperlink>
            <w:r w:rsidR="005B76C8">
              <w:rPr>
                <w:noProof/>
              </w:rPr>
              <w:t>]</w:t>
            </w:r>
          </w:fldSimple>
        </w:sdtContent>
      </w:sdt>
      <w:r w:rsidR="00764190">
        <w:t>:</w:t>
      </w:r>
    </w:p>
    <w:p w:rsidR="00C632B4" w:rsidRDefault="00C632B4" w:rsidP="007D722A">
      <w:pPr>
        <w:pStyle w:val="NoSpacing"/>
        <w:spacing w:line="360" w:lineRule="auto"/>
        <w:jc w:val="both"/>
      </w:pPr>
    </w:p>
    <w:p w:rsidR="00C632B4" w:rsidRDefault="00B23348" w:rsidP="007D086C">
      <w:pPr>
        <w:pStyle w:val="NoSpacing"/>
        <w:spacing w:line="48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m:t>
            </m:r>
            <m:r>
              <w:rPr>
                <w:rFonts w:ascii="Cambria Math" w:hAnsi="Cambria Math"/>
                <w:sz w:val="28"/>
                <w:szCs w:val="28"/>
              </w:rPr>
              <m:t>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C632B4" w:rsidRPr="000B4C8C">
        <w:rPr>
          <w:sz w:val="28"/>
          <w:szCs w:val="28"/>
        </w:rPr>
        <w:tab/>
        <w:t xml:space="preserve">          </w:t>
      </w:r>
      <w:r w:rsidR="00C632B4">
        <w:rPr>
          <w:sz w:val="28"/>
          <w:szCs w:val="28"/>
        </w:rPr>
        <w:t xml:space="preserve"> </w:t>
      </w:r>
      <w:r w:rsidR="00C632B4" w:rsidRPr="000B4C8C">
        <w:rPr>
          <w:sz w:val="28"/>
          <w:szCs w:val="28"/>
        </w:rPr>
        <w:t xml:space="preserve"> </w:t>
      </w:r>
      <w:r w:rsidR="00F23110">
        <w:rPr>
          <w:szCs w:val="24"/>
        </w:rPr>
        <w:t>(21</w:t>
      </w:r>
      <w:r w:rsidR="00C632B4" w:rsidRPr="000B4C8C">
        <w:rPr>
          <w:szCs w:val="24"/>
        </w:rPr>
        <w:t>)</w:t>
      </w:r>
    </w:p>
    <w:p w:rsidR="00C632B4" w:rsidRDefault="00B23348" w:rsidP="007D086C">
      <w:pPr>
        <w:pStyle w:val="NoSpacing"/>
        <w:spacing w:line="48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C632B4">
        <w:rPr>
          <w:sz w:val="28"/>
          <w:szCs w:val="28"/>
        </w:rPr>
        <w:t xml:space="preserve">  </w:t>
      </w:r>
      <w:r w:rsidR="00C632B4" w:rsidRPr="000B4C8C">
        <w:rPr>
          <w:sz w:val="28"/>
          <w:szCs w:val="28"/>
        </w:rPr>
        <w:t xml:space="preserve">   </w:t>
      </w:r>
      <w:r w:rsidR="00C632B4">
        <w:rPr>
          <w:sz w:val="28"/>
          <w:szCs w:val="28"/>
        </w:rPr>
        <w:t xml:space="preserve">  </w:t>
      </w:r>
      <w:r w:rsidR="00F23110">
        <w:rPr>
          <w:szCs w:val="24"/>
        </w:rPr>
        <w:tab/>
        <w:t xml:space="preserve">  (22</w:t>
      </w:r>
      <w:r w:rsidR="00C632B4">
        <w:rPr>
          <w:szCs w:val="24"/>
        </w:rPr>
        <w:t>)</w:t>
      </w:r>
    </w:p>
    <w:p w:rsidR="00C632B4" w:rsidRPr="00B85377" w:rsidRDefault="00B23348" w:rsidP="007D086C">
      <w:pPr>
        <w:jc w:val="center"/>
      </w:pP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6</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r</m:t>
                    </m:r>
                  </m:num>
                  <m:den>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7</m:t>
                        </m:r>
                      </m:sub>
                    </m:sSub>
                  </m:den>
                </m:f>
              </m:e>
            </m:d>
          </m:e>
        </m:func>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 xml:space="preserve">8 </m:t>
                </m:r>
              </m:sub>
            </m:sSub>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6</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 xml:space="preserve">9 </m:t>
                </m:r>
              </m:sub>
            </m:sSub>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4</m:t>
                </m:r>
              </m:sup>
            </m:sSup>
          </m:den>
        </m:f>
      </m:oMath>
      <w:r w:rsidR="00C632B4">
        <w:t xml:space="preserve">      </w:t>
      </w:r>
      <w:r w:rsidR="00C632B4">
        <w:tab/>
        <w:t xml:space="preserve"> </w:t>
      </w:r>
      <w:r w:rsidR="00F23110">
        <w:t>(23</w:t>
      </w:r>
      <w:r w:rsidR="00C632B4" w:rsidRPr="000B4C8C">
        <w:t>)</w:t>
      </w:r>
    </w:p>
    <w:p w:rsidR="00C632B4" w:rsidRPr="000B4C8C" w:rsidRDefault="00B23348" w:rsidP="007D086C">
      <w:pPr>
        <w:jc w:val="center"/>
        <w:rPr>
          <w:sz w:val="16"/>
          <w:szCs w:val="16"/>
        </w:rPr>
      </w:pPr>
      <m:oMath>
        <m:sSub>
          <m:sSubPr>
            <m:ctrlPr>
              <w:rPr>
                <w:rFonts w:ascii="Cambria Math" w:hAnsi="Cambria Math"/>
                <w:sz w:val="28"/>
                <w:szCs w:val="28"/>
              </w:rPr>
            </m:ctrlPr>
          </m:sSubPr>
          <m:e>
            <m:r>
              <m:rPr>
                <m:sty m:val="p"/>
              </m:rPr>
              <w:rPr>
                <w:rFonts w:ascii="Cambria Math" w:hAnsi="Cambria Math"/>
                <w:sz w:val="28"/>
                <w:szCs w:val="28"/>
              </w:rPr>
              <m:t xml:space="preserve"> </m:t>
            </m:r>
            <m:r>
              <w:rPr>
                <w:rFonts w:ascii="Cambria Math" w:hAnsi="Cambria Math"/>
                <w:sz w:val="28"/>
                <w:szCs w:val="28"/>
              </w:rPr>
              <m:t>V</m:t>
            </m:r>
          </m:e>
          <m:sub>
            <m:r>
              <w:rPr>
                <w:rFonts w:ascii="Cambria Math" w:hAnsi="Cambria Math"/>
                <w:sz w:val="28"/>
                <w:szCs w:val="28"/>
              </w:rPr>
              <m:t>VdW</m:t>
            </m:r>
          </m:sub>
        </m:sSub>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6498.0</m:t>
            </m:r>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12</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100.0</m:t>
            </m:r>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4</m:t>
                </m:r>
              </m:sup>
            </m:sSup>
          </m:den>
        </m:f>
      </m:oMath>
      <w:r w:rsidR="00C632B4">
        <w:t xml:space="preserve">         </w:t>
      </w:r>
      <w:r w:rsidR="00C632B4">
        <w:tab/>
        <w:t xml:space="preserve">  </w:t>
      </w:r>
      <w:r w:rsidR="00F23110">
        <w:t>(24</w:t>
      </w:r>
      <w:r w:rsidR="00C632B4" w:rsidRPr="00B85377">
        <w:t>)</w:t>
      </w:r>
    </w:p>
    <w:p w:rsidR="00C632B4" w:rsidRDefault="00C632B4" w:rsidP="007D722A">
      <w:r w:rsidRPr="00DD7CBC">
        <w:rPr>
          <w:i/>
        </w:rPr>
        <w:t>K</w:t>
      </w:r>
      <w:r>
        <w:rPr>
          <w:i/>
          <w:vertAlign w:val="subscript"/>
        </w:rPr>
        <w:t>i</w:t>
      </w:r>
      <w:r>
        <w:t xml:space="preserve"> – jõukonstandid, mis on summeeritud tabelites 6-8;</w:t>
      </w:r>
      <w:r w:rsidRPr="00B33112">
        <w:t xml:space="preserve"> </w:t>
      </w:r>
      <w:r>
        <w:t xml:space="preserve"> </w:t>
      </w:r>
      <w:r w:rsidRPr="00F45A62">
        <w:rPr>
          <w:i/>
        </w:rPr>
        <w:t>r</w:t>
      </w:r>
      <w:r>
        <w:t xml:space="preserve"> – aatomite vaheline kaugus (</w:t>
      </w:r>
      <w:r w:rsidRPr="00F73BF6">
        <w:rPr>
          <w:i/>
        </w:rPr>
        <w:t>Å</w:t>
      </w:r>
      <w:r>
        <w:t>).</w:t>
      </w:r>
    </w:p>
    <w:p w:rsidR="00C632B4" w:rsidRDefault="00C632B4" w:rsidP="007D722A">
      <w:r>
        <w:t>Elektrostaatilise vastasmõju potentsiaalne energia avaldub:</w:t>
      </w:r>
    </w:p>
    <w:p w:rsidR="00C632B4" w:rsidRDefault="00B23348" w:rsidP="007D086C">
      <w:pPr>
        <w:jc w:val="center"/>
      </w:pPr>
      <m:oMath>
        <m:sSub>
          <m:sSubPr>
            <m:ctrlPr>
              <w:rPr>
                <w:rFonts w:ascii="Cambria Math" w:hAnsi="Cambria Math"/>
              </w:rPr>
            </m:ctrlPr>
          </m:sSubPr>
          <m:e>
            <m:r>
              <w:rPr>
                <w:rFonts w:ascii="Cambria Math" w:hAnsi="Cambria Math"/>
              </w:rPr>
              <m:t>V</m:t>
            </m:r>
          </m:e>
          <m:sub>
            <m:r>
              <w:rPr>
                <w:rFonts w:ascii="Cambria Math" w:hAnsi="Cambria Math"/>
              </w:rPr>
              <m:t>coul</m:t>
            </m:r>
          </m:sub>
        </m:sSub>
        <m:r>
          <m:rPr>
            <m:sty m:val="p"/>
          </m:rPr>
          <w:rPr>
            <w:rFonts w:ascii="Cambria Math" w:hAnsi="Cambria Math"/>
          </w:rPr>
          <m:t>(</m:t>
        </m:r>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den>
        </m:f>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1</m:t>
                </m:r>
              </m:sub>
            </m:sSub>
            <m:sSub>
              <m:sSubPr>
                <m:ctrlPr>
                  <w:rPr>
                    <w:rFonts w:ascii="Cambria Math" w:hAnsi="Cambria Math"/>
                  </w:rPr>
                </m:ctrlPr>
              </m:sSubPr>
              <m:e>
                <m:r>
                  <w:rPr>
                    <w:rFonts w:ascii="Cambria Math" w:hAnsi="Cambria Math"/>
                  </w:rPr>
                  <m:t>q</m:t>
                </m:r>
              </m:e>
              <m:sub>
                <m:r>
                  <m:rPr>
                    <m:sty m:val="p"/>
                  </m:rPr>
                  <w:rPr>
                    <w:rFonts w:ascii="Cambria Math" w:hAnsi="Cambria Math"/>
                  </w:rPr>
                  <m:t>2</m:t>
                </m:r>
              </m:sub>
            </m:sSub>
          </m:num>
          <m:den>
            <m:r>
              <w:rPr>
                <w:rFonts w:ascii="Cambria Math" w:hAnsi="Cambria Math"/>
              </w:rPr>
              <m:t>r</m:t>
            </m:r>
          </m:den>
        </m:f>
      </m:oMath>
      <w:r w:rsidR="00C632B4">
        <w:t xml:space="preserve">  </w:t>
      </w:r>
      <w:r w:rsidR="00C632B4">
        <w:tab/>
      </w:r>
      <w:r w:rsidR="00C632B4">
        <w:tab/>
        <w:t xml:space="preserve"> </w:t>
      </w:r>
      <w:r w:rsidR="00C632B4" w:rsidRPr="000746F9">
        <w:t>(</w:t>
      </w:r>
      <w:r w:rsidR="00C75536">
        <w:t>2</w:t>
      </w:r>
      <w:r w:rsidR="00F23110">
        <w:t>5</w:t>
      </w:r>
      <w:r w:rsidR="00C632B4" w:rsidRPr="000746F9">
        <w:t>)</w:t>
      </w:r>
    </w:p>
    <w:p w:rsidR="00C632B4" w:rsidRPr="00F45A62" w:rsidRDefault="00C632B4" w:rsidP="007D722A">
      <w:r w:rsidRPr="00F45A62">
        <w:rPr>
          <w:i/>
        </w:rPr>
        <w:t>q</w:t>
      </w:r>
      <w:r>
        <w:rPr>
          <w:i/>
          <w:vertAlign w:val="subscript"/>
        </w:rPr>
        <w:t>i</w:t>
      </w:r>
      <w:r>
        <w:rPr>
          <w:i/>
        </w:rPr>
        <w:t xml:space="preserve"> </w:t>
      </w:r>
      <w:r>
        <w:rPr>
          <w:vertAlign w:val="subscript"/>
        </w:rPr>
        <w:t xml:space="preserve"> </w:t>
      </w:r>
      <w:r>
        <w:t>- interaktsioonis osalevate aatomite osalaengud, r – kahe aatomi vahe</w:t>
      </w:r>
      <w:r w:rsidR="0048027B">
        <w:t>kaugus</w:t>
      </w:r>
      <w:r>
        <w:t>, ε</w:t>
      </w:r>
      <w:r>
        <w:rPr>
          <w:vertAlign w:val="subscript"/>
        </w:rPr>
        <w:t>0</w:t>
      </w:r>
      <w:r>
        <w:t xml:space="preserve"> – absoluutne dielektriline läbitavus 8.854·10</w:t>
      </w:r>
      <w:r>
        <w:rPr>
          <w:vertAlign w:val="superscript"/>
        </w:rPr>
        <w:t>-12</w:t>
      </w:r>
      <w:r>
        <w:t xml:space="preserve"> Fm</w:t>
      </w:r>
      <w:r>
        <w:rPr>
          <w:vertAlign w:val="superscript"/>
        </w:rPr>
        <w:t>-1</w:t>
      </w:r>
      <w:r>
        <w:t>.</w:t>
      </w:r>
    </w:p>
    <w:p w:rsidR="00C632B4" w:rsidRDefault="003439A0" w:rsidP="007D722A">
      <w:r>
        <w:t>Liitiumi ja fluoori vahelist v</w:t>
      </w:r>
      <w:r w:rsidR="00C632B4">
        <w:t>an der Waalsi pote</w:t>
      </w:r>
      <w:r>
        <w:t xml:space="preserve">ntsiaali arvutatakse </w:t>
      </w:r>
      <w:r w:rsidR="00C75536">
        <w:t>avaldis 2</w:t>
      </w:r>
      <w:r w:rsidR="00F23110">
        <w:t>4</w:t>
      </w:r>
      <w:r w:rsidR="00C632B4">
        <w:t xml:space="preserve"> alusel.</w:t>
      </w:r>
    </w:p>
    <w:p w:rsidR="00C632B4" w:rsidRDefault="00C632B4" w:rsidP="007D722A"/>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8"/>
        <w:gridCol w:w="798"/>
        <w:gridCol w:w="52"/>
        <w:gridCol w:w="1276"/>
        <w:gridCol w:w="283"/>
        <w:gridCol w:w="993"/>
        <w:gridCol w:w="283"/>
        <w:gridCol w:w="566"/>
        <w:gridCol w:w="661"/>
      </w:tblGrid>
      <w:tr w:rsidR="00C632B4" w:rsidRPr="008C0BE0" w:rsidTr="001467BE">
        <w:trPr>
          <w:jc w:val="center"/>
        </w:trPr>
        <w:tc>
          <w:tcPr>
            <w:tcW w:w="1228" w:type="dxa"/>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Aatom</w:t>
            </w:r>
          </w:p>
        </w:tc>
        <w:tc>
          <w:tcPr>
            <w:tcW w:w="798" w:type="dxa"/>
            <w:tcBorders>
              <w:top w:val="single" w:sz="4" w:space="0" w:color="auto"/>
              <w:bottom w:val="single" w:sz="4" w:space="0" w:color="auto"/>
            </w:tcBorders>
          </w:tcPr>
          <w:p w:rsidR="00C632B4" w:rsidRPr="00F45A62" w:rsidRDefault="00C632B4" w:rsidP="00986E1A">
            <w:pPr>
              <w:pStyle w:val="NoSpacing"/>
              <w:rPr>
                <w:sz w:val="20"/>
                <w:szCs w:val="20"/>
              </w:rPr>
            </w:pPr>
            <w:r w:rsidRPr="00F45A62">
              <w:rPr>
                <w:sz w:val="20"/>
                <w:szCs w:val="20"/>
              </w:rPr>
              <w:t>Aatom</w:t>
            </w:r>
          </w:p>
        </w:tc>
        <w:tc>
          <w:tcPr>
            <w:tcW w:w="1611" w:type="dxa"/>
            <w:gridSpan w:val="3"/>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K</w:t>
            </w:r>
            <w:r w:rsidRPr="00F45A62">
              <w:rPr>
                <w:sz w:val="20"/>
                <w:szCs w:val="20"/>
                <w:vertAlign w:val="subscript"/>
              </w:rPr>
              <w:t>4</w:t>
            </w:r>
            <w:r w:rsidRPr="00F45A62">
              <w:rPr>
                <w:sz w:val="20"/>
                <w:szCs w:val="20"/>
              </w:rPr>
              <w:t xml:space="preserve"> /</w:t>
            </w:r>
          </w:p>
          <w:p w:rsidR="00C632B4" w:rsidRPr="00F45A62" w:rsidRDefault="00C632B4" w:rsidP="00986E1A">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276" w:type="dxa"/>
            <w:gridSpan w:val="2"/>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K</w:t>
            </w:r>
            <w:r w:rsidRPr="00F45A62">
              <w:rPr>
                <w:sz w:val="20"/>
                <w:szCs w:val="20"/>
                <w:vertAlign w:val="subscript"/>
              </w:rPr>
              <w:t>5</w:t>
            </w:r>
            <w:r w:rsidRPr="00F45A62">
              <w:rPr>
                <w:sz w:val="20"/>
                <w:szCs w:val="20"/>
              </w:rPr>
              <w:t xml:space="preserve"> /</w:t>
            </w:r>
          </w:p>
          <w:p w:rsidR="00C632B4" w:rsidRPr="00F45A62" w:rsidRDefault="00C632B4" w:rsidP="00986E1A">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566" w:type="dxa"/>
            <w:tcBorders>
              <w:top w:val="single" w:sz="4" w:space="0" w:color="auto"/>
              <w:bottom w:val="single" w:sz="4" w:space="0" w:color="auto"/>
            </w:tcBorders>
          </w:tcPr>
          <w:p w:rsidR="00C632B4" w:rsidRPr="00F45A62" w:rsidRDefault="00C632B4" w:rsidP="007D722A">
            <w:pPr>
              <w:pStyle w:val="NoSpacing"/>
              <w:jc w:val="both"/>
              <w:rPr>
                <w:sz w:val="20"/>
                <w:szCs w:val="20"/>
              </w:rPr>
            </w:pPr>
          </w:p>
        </w:tc>
        <w:tc>
          <w:tcPr>
            <w:tcW w:w="285" w:type="dxa"/>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Viide</w:t>
            </w:r>
          </w:p>
        </w:tc>
      </w:tr>
      <w:tr w:rsidR="00986E1A" w:rsidRPr="008C0BE0" w:rsidTr="001467BE">
        <w:trPr>
          <w:jc w:val="center"/>
        </w:trPr>
        <w:tc>
          <w:tcPr>
            <w:tcW w:w="1228" w:type="dxa"/>
            <w:tcBorders>
              <w:top w:val="single" w:sz="4" w:space="0" w:color="auto"/>
            </w:tcBorders>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Borders>
              <w:top w:val="single" w:sz="4" w:space="0" w:color="auto"/>
            </w:tcBorders>
          </w:tcPr>
          <w:p w:rsidR="00C632B4" w:rsidRPr="00F45A62" w:rsidRDefault="00C632B4" w:rsidP="00986E1A">
            <w:pPr>
              <w:pStyle w:val="NoSpacing"/>
              <w:rPr>
                <w:sz w:val="20"/>
                <w:szCs w:val="20"/>
              </w:rPr>
            </w:pPr>
            <w:r w:rsidRPr="00F45A62">
              <w:rPr>
                <w:sz w:val="20"/>
                <w:szCs w:val="20"/>
              </w:rPr>
              <w:t>C</w:t>
            </w:r>
            <w:r w:rsidRPr="00F45A62">
              <w:rPr>
                <w:sz w:val="20"/>
                <w:szCs w:val="20"/>
                <w:vertAlign w:val="subscript"/>
              </w:rPr>
              <w:t>xPE</w:t>
            </w:r>
          </w:p>
        </w:tc>
        <w:tc>
          <w:tcPr>
            <w:tcW w:w="1276" w:type="dxa"/>
            <w:tcBorders>
              <w:top w:val="single" w:sz="4" w:space="0" w:color="auto"/>
            </w:tcBorders>
          </w:tcPr>
          <w:p w:rsidR="00C632B4" w:rsidRPr="00F45A62" w:rsidRDefault="00C632B4" w:rsidP="00986E1A">
            <w:pPr>
              <w:pStyle w:val="NoSpacing"/>
              <w:jc w:val="right"/>
              <w:rPr>
                <w:sz w:val="20"/>
                <w:szCs w:val="20"/>
              </w:rPr>
            </w:pPr>
            <w:r w:rsidRPr="00F45A62">
              <w:rPr>
                <w:sz w:val="20"/>
                <w:szCs w:val="20"/>
              </w:rPr>
              <w:t>1043080.2</w:t>
            </w:r>
          </w:p>
        </w:tc>
        <w:tc>
          <w:tcPr>
            <w:tcW w:w="1276" w:type="dxa"/>
            <w:gridSpan w:val="2"/>
            <w:tcBorders>
              <w:top w:val="single" w:sz="4" w:space="0" w:color="auto"/>
            </w:tcBorders>
          </w:tcPr>
          <w:p w:rsidR="00C632B4" w:rsidRPr="00F45A62" w:rsidRDefault="00C632B4" w:rsidP="00986E1A">
            <w:pPr>
              <w:pStyle w:val="NoSpacing"/>
              <w:jc w:val="right"/>
              <w:rPr>
                <w:sz w:val="20"/>
                <w:szCs w:val="20"/>
              </w:rPr>
            </w:pPr>
            <w:r w:rsidRPr="00F45A62">
              <w:rPr>
                <w:sz w:val="20"/>
                <w:szCs w:val="20"/>
              </w:rPr>
              <w:t>675.6</w:t>
            </w:r>
          </w:p>
        </w:tc>
        <w:tc>
          <w:tcPr>
            <w:tcW w:w="849" w:type="dxa"/>
            <w:gridSpan w:val="2"/>
            <w:tcBorders>
              <w:top w:val="single" w:sz="4" w:space="0" w:color="auto"/>
            </w:tcBorders>
          </w:tcPr>
          <w:p w:rsidR="00C632B4" w:rsidRPr="00F45A62" w:rsidRDefault="00C632B4" w:rsidP="007D722A">
            <w:pPr>
              <w:pStyle w:val="NoSpacing"/>
              <w:jc w:val="both"/>
              <w:rPr>
                <w:sz w:val="20"/>
                <w:szCs w:val="20"/>
              </w:rPr>
            </w:pPr>
          </w:p>
        </w:tc>
        <w:tc>
          <w:tcPr>
            <w:tcW w:w="285" w:type="dxa"/>
            <w:tcBorders>
              <w:top w:val="single" w:sz="4" w:space="0" w:color="auto"/>
            </w:tcBorders>
          </w:tcPr>
          <w:p w:rsidR="00C632B4" w:rsidRPr="00F45A62" w:rsidRDefault="00B23348" w:rsidP="00B75B3F">
            <w:pPr>
              <w:pStyle w:val="NoSpacing"/>
              <w:jc w:val="center"/>
              <w:rPr>
                <w:sz w:val="20"/>
                <w:szCs w:val="20"/>
              </w:rPr>
            </w:pPr>
            <w:sdt>
              <w:sdtPr>
                <w:rPr>
                  <w:sz w:val="20"/>
                  <w:szCs w:val="20"/>
                </w:rPr>
                <w:id w:val="3734174"/>
                <w:citation/>
              </w:sdtPr>
              <w:sdtContent>
                <w:r>
                  <w:rPr>
                    <w:sz w:val="20"/>
                    <w:szCs w:val="20"/>
                  </w:rPr>
                  <w:fldChar w:fldCharType="begin"/>
                </w:r>
                <w:r w:rsidR="00B75B3F">
                  <w:rPr>
                    <w:sz w:val="20"/>
                    <w:szCs w:val="20"/>
                  </w:rPr>
                  <w:instrText xml:space="preserve"> CITATION S \l 1061  </w:instrText>
                </w:r>
                <w:r>
                  <w:rPr>
                    <w:sz w:val="20"/>
                    <w:szCs w:val="20"/>
                  </w:rPr>
                  <w:fldChar w:fldCharType="separate"/>
                </w:r>
                <w:r w:rsidR="005B76C8" w:rsidRPr="005B76C8">
                  <w:rPr>
                    <w:noProof/>
                    <w:sz w:val="20"/>
                    <w:szCs w:val="20"/>
                  </w:rPr>
                  <w:t>[</w:t>
                </w:r>
                <w:hyperlink w:anchor="S" w:history="1">
                  <w:r w:rsidR="005B76C8" w:rsidRPr="005B76C8">
                    <w:rPr>
                      <w:rStyle w:val="Heading2Char"/>
                      <w:rFonts w:eastAsiaTheme="minorEastAsia" w:cstheme="minorBidi"/>
                      <w:noProof/>
                      <w:sz w:val="20"/>
                      <w:szCs w:val="20"/>
                    </w:rPr>
                    <w:t>10</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xPE</w:t>
            </w:r>
          </w:p>
        </w:tc>
        <w:tc>
          <w:tcPr>
            <w:tcW w:w="1276" w:type="dxa"/>
          </w:tcPr>
          <w:p w:rsidR="00C632B4" w:rsidRPr="00F45A62" w:rsidRDefault="00C632B4" w:rsidP="00986E1A">
            <w:pPr>
              <w:pStyle w:val="NoSpacing"/>
              <w:jc w:val="right"/>
              <w:rPr>
                <w:sz w:val="20"/>
                <w:szCs w:val="20"/>
              </w:rPr>
            </w:pPr>
            <w:r w:rsidRPr="00F45A62">
              <w:rPr>
                <w:sz w:val="20"/>
                <w:szCs w:val="20"/>
              </w:rPr>
              <w:t>97171.5</w:t>
            </w:r>
          </w:p>
        </w:tc>
        <w:tc>
          <w:tcPr>
            <w:tcW w:w="1276" w:type="dxa"/>
            <w:gridSpan w:val="2"/>
          </w:tcPr>
          <w:p w:rsidR="00C632B4" w:rsidRPr="00F45A62" w:rsidRDefault="00C632B4" w:rsidP="00986E1A">
            <w:pPr>
              <w:pStyle w:val="NoSpacing"/>
              <w:jc w:val="right"/>
              <w:rPr>
                <w:sz w:val="20"/>
                <w:szCs w:val="20"/>
              </w:rPr>
            </w:pPr>
            <w:r w:rsidRPr="00F45A62">
              <w:rPr>
                <w:sz w:val="20"/>
                <w:szCs w:val="20"/>
              </w:rPr>
              <w:t>126.9</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B75B3F">
            <w:pPr>
              <w:pStyle w:val="NoSpacing"/>
              <w:jc w:val="center"/>
              <w:rPr>
                <w:sz w:val="20"/>
                <w:szCs w:val="20"/>
              </w:rPr>
            </w:pPr>
            <w:sdt>
              <w:sdtPr>
                <w:rPr>
                  <w:sz w:val="20"/>
                  <w:szCs w:val="20"/>
                </w:rPr>
                <w:id w:val="3734175"/>
                <w:citation/>
              </w:sdtPr>
              <w:sdtContent>
                <w:r>
                  <w:rPr>
                    <w:sz w:val="20"/>
                    <w:szCs w:val="20"/>
                  </w:rPr>
                  <w:fldChar w:fldCharType="begin"/>
                </w:r>
                <w:r w:rsidR="00B75B3F">
                  <w:rPr>
                    <w:sz w:val="20"/>
                    <w:szCs w:val="20"/>
                  </w:rPr>
                  <w:instrText xml:space="preserve"> CITATION S \l 1061  </w:instrText>
                </w:r>
                <w:r>
                  <w:rPr>
                    <w:sz w:val="20"/>
                    <w:szCs w:val="20"/>
                  </w:rPr>
                  <w:fldChar w:fldCharType="separate"/>
                </w:r>
                <w:r w:rsidR="005B76C8" w:rsidRPr="005B76C8">
                  <w:rPr>
                    <w:noProof/>
                    <w:sz w:val="20"/>
                    <w:szCs w:val="20"/>
                  </w:rPr>
                  <w:t>[</w:t>
                </w:r>
                <w:hyperlink w:anchor="S" w:history="1">
                  <w:r w:rsidR="005B76C8" w:rsidRPr="005B76C8">
                    <w:rPr>
                      <w:rStyle w:val="Heading2Char"/>
                      <w:rFonts w:eastAsiaTheme="minorEastAsia" w:cstheme="minorBidi"/>
                      <w:noProof/>
                      <w:sz w:val="20"/>
                      <w:szCs w:val="20"/>
                    </w:rPr>
                    <w:t>10</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C</w:t>
            </w:r>
            <w:r w:rsidRPr="00F45A62">
              <w:rPr>
                <w:sz w:val="20"/>
                <w:szCs w:val="20"/>
                <w:vertAlign w:val="subscript"/>
              </w:rPr>
              <w:t>yPEO</w:t>
            </w:r>
          </w:p>
        </w:tc>
        <w:tc>
          <w:tcPr>
            <w:tcW w:w="1276" w:type="dxa"/>
          </w:tcPr>
          <w:p w:rsidR="00C632B4" w:rsidRPr="00F45A62" w:rsidRDefault="00C632B4" w:rsidP="00986E1A">
            <w:pPr>
              <w:pStyle w:val="NoSpacing"/>
              <w:jc w:val="right"/>
              <w:rPr>
                <w:sz w:val="20"/>
                <w:szCs w:val="20"/>
              </w:rPr>
            </w:pPr>
            <w:r w:rsidRPr="00F45A62">
              <w:rPr>
                <w:sz w:val="20"/>
                <w:szCs w:val="20"/>
              </w:rPr>
              <w:t>1079430.3</w:t>
            </w:r>
          </w:p>
        </w:tc>
        <w:tc>
          <w:tcPr>
            <w:tcW w:w="1276" w:type="dxa"/>
            <w:gridSpan w:val="2"/>
          </w:tcPr>
          <w:p w:rsidR="00C632B4" w:rsidRPr="00F45A62" w:rsidRDefault="00C632B4" w:rsidP="00986E1A">
            <w:pPr>
              <w:pStyle w:val="NoSpacing"/>
              <w:jc w:val="right"/>
              <w:rPr>
                <w:sz w:val="20"/>
                <w:szCs w:val="20"/>
              </w:rPr>
            </w:pPr>
            <w:r w:rsidRPr="00F45A62">
              <w:rPr>
                <w:sz w:val="20"/>
                <w:szCs w:val="20"/>
              </w:rPr>
              <w:t>680.3</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986E1A">
            <w:pPr>
              <w:pStyle w:val="NoSpacing"/>
              <w:jc w:val="center"/>
              <w:rPr>
                <w:sz w:val="20"/>
                <w:szCs w:val="20"/>
              </w:rPr>
            </w:pPr>
            <w:sdt>
              <w:sdtPr>
                <w:rPr>
                  <w:sz w:val="20"/>
                  <w:szCs w:val="20"/>
                </w:rPr>
                <w:id w:val="191671716"/>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5B76C8" w:rsidRPr="005B76C8">
                  <w:rPr>
                    <w:noProof/>
                    <w:sz w:val="20"/>
                    <w:szCs w:val="20"/>
                  </w:rPr>
                  <w:t>[</w:t>
                </w:r>
                <w:hyperlink w:anchor="c" w:history="1">
                  <w:r w:rsidR="005B76C8" w:rsidRPr="005B76C8">
                    <w:rPr>
                      <w:rStyle w:val="Heading2Char"/>
                      <w:rFonts w:eastAsiaTheme="minorEastAsia" w:cstheme="minorBidi"/>
                      <w:noProof/>
                      <w:sz w:val="20"/>
                      <w:szCs w:val="20"/>
                    </w:rPr>
                    <w:t>48</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yPEO</w:t>
            </w:r>
          </w:p>
        </w:tc>
        <w:tc>
          <w:tcPr>
            <w:tcW w:w="1276" w:type="dxa"/>
          </w:tcPr>
          <w:p w:rsidR="00C632B4" w:rsidRPr="00F45A62" w:rsidRDefault="00C632B4" w:rsidP="00986E1A">
            <w:pPr>
              <w:pStyle w:val="NoSpacing"/>
              <w:jc w:val="right"/>
              <w:rPr>
                <w:sz w:val="20"/>
                <w:szCs w:val="20"/>
              </w:rPr>
            </w:pPr>
            <w:r w:rsidRPr="00F45A62">
              <w:rPr>
                <w:sz w:val="20"/>
                <w:szCs w:val="20"/>
              </w:rPr>
              <w:t>123783.6</w:t>
            </w:r>
          </w:p>
        </w:tc>
        <w:tc>
          <w:tcPr>
            <w:tcW w:w="1276" w:type="dxa"/>
            <w:gridSpan w:val="2"/>
          </w:tcPr>
          <w:p w:rsidR="00C632B4" w:rsidRPr="00F45A62" w:rsidRDefault="00C632B4" w:rsidP="00986E1A">
            <w:pPr>
              <w:pStyle w:val="NoSpacing"/>
              <w:jc w:val="right"/>
              <w:rPr>
                <w:sz w:val="20"/>
                <w:szCs w:val="20"/>
              </w:rPr>
            </w:pPr>
            <w:r w:rsidRPr="00F45A62">
              <w:rPr>
                <w:sz w:val="20"/>
                <w:szCs w:val="20"/>
              </w:rPr>
              <w:t>185.4</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986E1A">
            <w:pPr>
              <w:pStyle w:val="NoSpacing"/>
              <w:jc w:val="center"/>
              <w:rPr>
                <w:sz w:val="20"/>
                <w:szCs w:val="20"/>
              </w:rPr>
            </w:pPr>
            <w:sdt>
              <w:sdtPr>
                <w:rPr>
                  <w:sz w:val="20"/>
                  <w:szCs w:val="20"/>
                </w:rPr>
                <w:id w:val="191671717"/>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5B76C8" w:rsidRPr="005B76C8">
                  <w:rPr>
                    <w:noProof/>
                    <w:sz w:val="20"/>
                    <w:szCs w:val="20"/>
                  </w:rPr>
                  <w:t>[</w:t>
                </w:r>
                <w:hyperlink w:anchor="c" w:history="1">
                  <w:r w:rsidR="005B76C8" w:rsidRPr="005B76C8">
                    <w:rPr>
                      <w:rStyle w:val="Heading2Char"/>
                      <w:rFonts w:eastAsiaTheme="minorEastAsia" w:cstheme="minorBidi"/>
                      <w:noProof/>
                      <w:sz w:val="20"/>
                      <w:szCs w:val="20"/>
                    </w:rPr>
                    <w:t>48</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C</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O</w:t>
            </w:r>
            <w:r w:rsidRPr="00F45A62">
              <w:rPr>
                <w:sz w:val="20"/>
                <w:szCs w:val="20"/>
                <w:vertAlign w:val="subscript"/>
              </w:rPr>
              <w:t>PEO</w:t>
            </w:r>
          </w:p>
        </w:tc>
        <w:tc>
          <w:tcPr>
            <w:tcW w:w="1276" w:type="dxa"/>
          </w:tcPr>
          <w:p w:rsidR="00C632B4" w:rsidRPr="00F45A62" w:rsidRDefault="00C632B4" w:rsidP="00986E1A">
            <w:pPr>
              <w:pStyle w:val="NoSpacing"/>
              <w:jc w:val="right"/>
              <w:rPr>
                <w:sz w:val="20"/>
                <w:szCs w:val="20"/>
              </w:rPr>
            </w:pPr>
            <w:r w:rsidRPr="00F45A62">
              <w:rPr>
                <w:sz w:val="20"/>
                <w:szCs w:val="20"/>
              </w:rPr>
              <w:t>449796.1</w:t>
            </w:r>
          </w:p>
        </w:tc>
        <w:tc>
          <w:tcPr>
            <w:tcW w:w="1276" w:type="dxa"/>
            <w:gridSpan w:val="2"/>
          </w:tcPr>
          <w:p w:rsidR="00C632B4" w:rsidRPr="00F45A62" w:rsidRDefault="00C632B4" w:rsidP="00986E1A">
            <w:pPr>
              <w:pStyle w:val="NoSpacing"/>
              <w:jc w:val="right"/>
              <w:rPr>
                <w:sz w:val="20"/>
                <w:szCs w:val="20"/>
              </w:rPr>
            </w:pPr>
            <w:r w:rsidRPr="00F45A62">
              <w:rPr>
                <w:sz w:val="20"/>
                <w:szCs w:val="20"/>
              </w:rPr>
              <w:t>380.3</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986E1A">
            <w:pPr>
              <w:pStyle w:val="NoSpacing"/>
              <w:jc w:val="center"/>
              <w:rPr>
                <w:sz w:val="20"/>
                <w:szCs w:val="20"/>
              </w:rPr>
            </w:pPr>
            <w:sdt>
              <w:sdtPr>
                <w:rPr>
                  <w:sz w:val="20"/>
                  <w:szCs w:val="20"/>
                </w:rPr>
                <w:id w:val="191671718"/>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5B76C8" w:rsidRPr="005B76C8">
                  <w:rPr>
                    <w:noProof/>
                    <w:sz w:val="20"/>
                    <w:szCs w:val="20"/>
                  </w:rPr>
                  <w:t>[</w:t>
                </w:r>
                <w:hyperlink w:anchor="c" w:history="1">
                  <w:r w:rsidR="005B76C8" w:rsidRPr="005B76C8">
                    <w:rPr>
                      <w:rStyle w:val="Heading2Char"/>
                      <w:rFonts w:eastAsiaTheme="minorEastAsia" w:cstheme="minorBidi"/>
                      <w:noProof/>
                      <w:sz w:val="20"/>
                      <w:szCs w:val="20"/>
                    </w:rPr>
                    <w:t>48</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xPE</w:t>
            </w:r>
          </w:p>
        </w:tc>
        <w:tc>
          <w:tcPr>
            <w:tcW w:w="1276" w:type="dxa"/>
          </w:tcPr>
          <w:p w:rsidR="00C632B4" w:rsidRPr="00F45A62" w:rsidRDefault="00C632B4" w:rsidP="00986E1A">
            <w:pPr>
              <w:pStyle w:val="NoSpacing"/>
              <w:jc w:val="right"/>
              <w:rPr>
                <w:sz w:val="20"/>
                <w:szCs w:val="20"/>
              </w:rPr>
            </w:pPr>
            <w:r w:rsidRPr="00F45A62">
              <w:rPr>
                <w:sz w:val="20"/>
                <w:szCs w:val="20"/>
              </w:rPr>
              <w:t>7516.1</w:t>
            </w:r>
          </w:p>
        </w:tc>
        <w:tc>
          <w:tcPr>
            <w:tcW w:w="1276" w:type="dxa"/>
            <w:gridSpan w:val="2"/>
          </w:tcPr>
          <w:p w:rsidR="00C632B4" w:rsidRPr="00F45A62" w:rsidRDefault="00C632B4" w:rsidP="00986E1A">
            <w:pPr>
              <w:pStyle w:val="NoSpacing"/>
              <w:jc w:val="right"/>
              <w:rPr>
                <w:sz w:val="20"/>
                <w:szCs w:val="20"/>
              </w:rPr>
            </w:pPr>
            <w:r w:rsidRPr="00F45A62">
              <w:rPr>
                <w:sz w:val="20"/>
                <w:szCs w:val="20"/>
              </w:rPr>
              <w:t>21.7</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B75B3F">
            <w:pPr>
              <w:pStyle w:val="NoSpacing"/>
              <w:jc w:val="center"/>
              <w:rPr>
                <w:sz w:val="20"/>
                <w:szCs w:val="20"/>
              </w:rPr>
            </w:pPr>
            <w:sdt>
              <w:sdtPr>
                <w:rPr>
                  <w:sz w:val="20"/>
                  <w:szCs w:val="20"/>
                </w:rPr>
                <w:id w:val="3734176"/>
                <w:citation/>
              </w:sdtPr>
              <w:sdtContent>
                <w:r>
                  <w:rPr>
                    <w:sz w:val="20"/>
                    <w:szCs w:val="20"/>
                  </w:rPr>
                  <w:fldChar w:fldCharType="begin"/>
                </w:r>
                <w:r w:rsidR="00B75B3F">
                  <w:rPr>
                    <w:sz w:val="20"/>
                    <w:szCs w:val="20"/>
                  </w:rPr>
                  <w:instrText xml:space="preserve"> CITATION S \l 1061  </w:instrText>
                </w:r>
                <w:r>
                  <w:rPr>
                    <w:sz w:val="20"/>
                    <w:szCs w:val="20"/>
                  </w:rPr>
                  <w:fldChar w:fldCharType="separate"/>
                </w:r>
                <w:r w:rsidR="005B76C8" w:rsidRPr="005B76C8">
                  <w:rPr>
                    <w:noProof/>
                    <w:sz w:val="20"/>
                    <w:szCs w:val="20"/>
                  </w:rPr>
                  <w:t>[</w:t>
                </w:r>
                <w:hyperlink w:anchor="S" w:history="1">
                  <w:r w:rsidR="005B76C8" w:rsidRPr="005B76C8">
                    <w:rPr>
                      <w:rStyle w:val="Heading2Char"/>
                      <w:rFonts w:eastAsiaTheme="minorEastAsia" w:cstheme="minorBidi"/>
                      <w:noProof/>
                      <w:sz w:val="20"/>
                      <w:szCs w:val="20"/>
                    </w:rPr>
                    <w:t>10</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C</w:t>
            </w:r>
            <w:r w:rsidRPr="00F45A62">
              <w:rPr>
                <w:sz w:val="20"/>
                <w:szCs w:val="20"/>
                <w:vertAlign w:val="subscript"/>
              </w:rPr>
              <w:t>yPEO</w:t>
            </w:r>
          </w:p>
        </w:tc>
        <w:tc>
          <w:tcPr>
            <w:tcW w:w="1276" w:type="dxa"/>
          </w:tcPr>
          <w:p w:rsidR="00C632B4" w:rsidRPr="00F45A62" w:rsidRDefault="00C632B4" w:rsidP="00986E1A">
            <w:pPr>
              <w:pStyle w:val="NoSpacing"/>
              <w:jc w:val="right"/>
              <w:rPr>
                <w:sz w:val="20"/>
                <w:szCs w:val="20"/>
              </w:rPr>
            </w:pPr>
            <w:r w:rsidRPr="00F45A62">
              <w:rPr>
                <w:sz w:val="20"/>
                <w:szCs w:val="20"/>
              </w:rPr>
              <w:t>91628.8</w:t>
            </w:r>
          </w:p>
        </w:tc>
        <w:tc>
          <w:tcPr>
            <w:tcW w:w="1276" w:type="dxa"/>
            <w:gridSpan w:val="2"/>
          </w:tcPr>
          <w:p w:rsidR="00C632B4" w:rsidRPr="00F45A62" w:rsidRDefault="00C632B4" w:rsidP="00986E1A">
            <w:pPr>
              <w:pStyle w:val="NoSpacing"/>
              <w:jc w:val="right"/>
              <w:rPr>
                <w:sz w:val="20"/>
                <w:szCs w:val="20"/>
              </w:rPr>
            </w:pPr>
            <w:r w:rsidRPr="00F45A62">
              <w:rPr>
                <w:sz w:val="20"/>
                <w:szCs w:val="20"/>
              </w:rPr>
              <w:t>121.9</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986E1A">
            <w:pPr>
              <w:pStyle w:val="NoSpacing"/>
              <w:jc w:val="center"/>
              <w:rPr>
                <w:sz w:val="20"/>
                <w:szCs w:val="20"/>
              </w:rPr>
            </w:pPr>
            <w:sdt>
              <w:sdtPr>
                <w:rPr>
                  <w:sz w:val="20"/>
                  <w:szCs w:val="20"/>
                </w:rPr>
                <w:id w:val="191671719"/>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5B76C8" w:rsidRPr="005B76C8">
                  <w:rPr>
                    <w:noProof/>
                    <w:sz w:val="20"/>
                    <w:szCs w:val="20"/>
                  </w:rPr>
                  <w:t>[</w:t>
                </w:r>
                <w:hyperlink w:anchor="c" w:history="1">
                  <w:r w:rsidR="005B76C8" w:rsidRPr="005B76C8">
                    <w:rPr>
                      <w:rStyle w:val="Heading2Char"/>
                      <w:rFonts w:eastAsiaTheme="minorEastAsia" w:cstheme="minorBidi"/>
                      <w:noProof/>
                      <w:sz w:val="20"/>
                      <w:szCs w:val="20"/>
                    </w:rPr>
                    <w:t>48</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Pr>
          <w:p w:rsidR="00C632B4" w:rsidRPr="00F45A62" w:rsidRDefault="00C632B4" w:rsidP="00986E1A">
            <w:pPr>
              <w:pStyle w:val="NoSpacing"/>
              <w:rPr>
                <w:sz w:val="20"/>
                <w:szCs w:val="20"/>
              </w:rPr>
            </w:pPr>
            <w:r w:rsidRPr="00F45A62">
              <w:rPr>
                <w:sz w:val="20"/>
                <w:szCs w:val="20"/>
              </w:rPr>
              <w:t>O</w:t>
            </w:r>
            <w:r w:rsidRPr="00F45A62">
              <w:rPr>
                <w:sz w:val="20"/>
                <w:szCs w:val="20"/>
                <w:vertAlign w:val="subscript"/>
              </w:rPr>
              <w:t>PEO</w:t>
            </w:r>
          </w:p>
        </w:tc>
        <w:tc>
          <w:tcPr>
            <w:tcW w:w="1276" w:type="dxa"/>
          </w:tcPr>
          <w:p w:rsidR="00C632B4" w:rsidRPr="00F45A62" w:rsidRDefault="00C632B4" w:rsidP="00986E1A">
            <w:pPr>
              <w:pStyle w:val="NoSpacing"/>
              <w:jc w:val="right"/>
              <w:rPr>
                <w:sz w:val="20"/>
                <w:szCs w:val="20"/>
              </w:rPr>
            </w:pPr>
            <w:r w:rsidRPr="00F45A62">
              <w:rPr>
                <w:sz w:val="20"/>
                <w:szCs w:val="20"/>
              </w:rPr>
              <w:t>38181.5</w:t>
            </w:r>
          </w:p>
        </w:tc>
        <w:tc>
          <w:tcPr>
            <w:tcW w:w="1276" w:type="dxa"/>
            <w:gridSpan w:val="2"/>
          </w:tcPr>
          <w:p w:rsidR="00C632B4" w:rsidRPr="00F45A62" w:rsidRDefault="00C632B4" w:rsidP="00986E1A">
            <w:pPr>
              <w:pStyle w:val="NoSpacing"/>
              <w:jc w:val="right"/>
              <w:rPr>
                <w:sz w:val="20"/>
                <w:szCs w:val="20"/>
              </w:rPr>
            </w:pPr>
            <w:r w:rsidRPr="00F45A62">
              <w:rPr>
                <w:sz w:val="20"/>
                <w:szCs w:val="20"/>
              </w:rPr>
              <w:t>68.2</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B23348" w:rsidP="00986E1A">
            <w:pPr>
              <w:pStyle w:val="NoSpacing"/>
              <w:jc w:val="center"/>
              <w:rPr>
                <w:sz w:val="20"/>
                <w:szCs w:val="20"/>
              </w:rPr>
            </w:pPr>
            <w:sdt>
              <w:sdtPr>
                <w:rPr>
                  <w:sz w:val="20"/>
                  <w:szCs w:val="20"/>
                </w:rPr>
                <w:id w:val="191671720"/>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5B76C8" w:rsidRPr="005B76C8">
                  <w:rPr>
                    <w:noProof/>
                    <w:sz w:val="20"/>
                    <w:szCs w:val="20"/>
                  </w:rPr>
                  <w:t>[</w:t>
                </w:r>
                <w:hyperlink w:anchor="c" w:history="1">
                  <w:r w:rsidR="005B76C8" w:rsidRPr="005B76C8">
                    <w:rPr>
                      <w:rStyle w:val="Heading2Char"/>
                      <w:rFonts w:eastAsiaTheme="minorEastAsia" w:cstheme="minorBidi"/>
                      <w:noProof/>
                      <w:sz w:val="20"/>
                      <w:szCs w:val="20"/>
                    </w:rPr>
                    <w:t>48</w:t>
                  </w:r>
                </w:hyperlink>
                <w:r w:rsidR="005B76C8" w:rsidRPr="005B76C8">
                  <w:rPr>
                    <w:noProof/>
                    <w:sz w:val="20"/>
                    <w:szCs w:val="20"/>
                  </w:rPr>
                  <w:t>]</w:t>
                </w:r>
                <w:r>
                  <w:rPr>
                    <w:sz w:val="20"/>
                    <w:szCs w:val="20"/>
                  </w:rPr>
                  <w:fldChar w:fldCharType="end"/>
                </w:r>
              </w:sdtContent>
            </w:sdt>
          </w:p>
        </w:tc>
      </w:tr>
      <w:tr w:rsidR="00986E1A" w:rsidRPr="008C0BE0" w:rsidTr="001467BE">
        <w:trPr>
          <w:jc w:val="center"/>
        </w:trPr>
        <w:tc>
          <w:tcPr>
            <w:tcW w:w="1228" w:type="dxa"/>
            <w:tcBorders>
              <w:bottom w:val="single" w:sz="4" w:space="0" w:color="auto"/>
            </w:tcBorders>
          </w:tcPr>
          <w:p w:rsidR="00C632B4" w:rsidRPr="00F45A62" w:rsidRDefault="00C632B4" w:rsidP="00986E1A">
            <w:pPr>
              <w:pStyle w:val="NoSpacing"/>
              <w:jc w:val="center"/>
              <w:rPr>
                <w:sz w:val="20"/>
                <w:szCs w:val="20"/>
              </w:rPr>
            </w:pPr>
            <w:r w:rsidRPr="00F45A62">
              <w:rPr>
                <w:sz w:val="20"/>
                <w:szCs w:val="20"/>
              </w:rPr>
              <w:t>H</w:t>
            </w:r>
            <w:r w:rsidRPr="00F45A62">
              <w:rPr>
                <w:sz w:val="20"/>
                <w:szCs w:val="20"/>
                <w:vertAlign w:val="subscript"/>
              </w:rPr>
              <w:t>xPE</w:t>
            </w:r>
          </w:p>
        </w:tc>
        <w:tc>
          <w:tcPr>
            <w:tcW w:w="850" w:type="dxa"/>
            <w:gridSpan w:val="2"/>
            <w:tcBorders>
              <w:bottom w:val="single" w:sz="4" w:space="0" w:color="auto"/>
            </w:tcBorders>
          </w:tcPr>
          <w:p w:rsidR="00C632B4" w:rsidRPr="00F45A62" w:rsidRDefault="00C632B4" w:rsidP="00986E1A">
            <w:pPr>
              <w:pStyle w:val="NoSpacing"/>
              <w:rPr>
                <w:sz w:val="20"/>
                <w:szCs w:val="20"/>
              </w:rPr>
            </w:pPr>
            <w:r w:rsidRPr="00F45A62">
              <w:rPr>
                <w:sz w:val="20"/>
                <w:szCs w:val="20"/>
              </w:rPr>
              <w:t>H</w:t>
            </w:r>
            <w:r w:rsidRPr="00F45A62">
              <w:rPr>
                <w:sz w:val="20"/>
                <w:szCs w:val="20"/>
                <w:vertAlign w:val="subscript"/>
              </w:rPr>
              <w:t>yPEO</w:t>
            </w:r>
          </w:p>
        </w:tc>
        <w:tc>
          <w:tcPr>
            <w:tcW w:w="1276" w:type="dxa"/>
            <w:tcBorders>
              <w:bottom w:val="single" w:sz="4" w:space="0" w:color="auto"/>
            </w:tcBorders>
          </w:tcPr>
          <w:p w:rsidR="00C632B4" w:rsidRPr="00F45A62" w:rsidRDefault="00C632B4" w:rsidP="00986E1A">
            <w:pPr>
              <w:pStyle w:val="NoSpacing"/>
              <w:jc w:val="right"/>
              <w:rPr>
                <w:sz w:val="20"/>
                <w:szCs w:val="20"/>
              </w:rPr>
            </w:pPr>
            <w:r w:rsidRPr="00F45A62">
              <w:rPr>
                <w:sz w:val="20"/>
                <w:szCs w:val="20"/>
              </w:rPr>
              <w:t>10507.5</w:t>
            </w:r>
          </w:p>
        </w:tc>
        <w:tc>
          <w:tcPr>
            <w:tcW w:w="1276" w:type="dxa"/>
            <w:gridSpan w:val="2"/>
            <w:tcBorders>
              <w:bottom w:val="single" w:sz="4" w:space="0" w:color="auto"/>
            </w:tcBorders>
          </w:tcPr>
          <w:p w:rsidR="00C632B4" w:rsidRPr="00F45A62" w:rsidRDefault="00C632B4" w:rsidP="00986E1A">
            <w:pPr>
              <w:pStyle w:val="NoSpacing"/>
              <w:jc w:val="right"/>
              <w:rPr>
                <w:sz w:val="20"/>
                <w:szCs w:val="20"/>
              </w:rPr>
            </w:pPr>
            <w:r w:rsidRPr="00F45A62">
              <w:rPr>
                <w:sz w:val="20"/>
                <w:szCs w:val="20"/>
              </w:rPr>
              <w:t>33.2</w:t>
            </w:r>
          </w:p>
        </w:tc>
        <w:tc>
          <w:tcPr>
            <w:tcW w:w="849" w:type="dxa"/>
            <w:gridSpan w:val="2"/>
            <w:tcBorders>
              <w:bottom w:val="single" w:sz="4" w:space="0" w:color="auto"/>
            </w:tcBorders>
          </w:tcPr>
          <w:p w:rsidR="00C632B4" w:rsidRPr="00F45A62" w:rsidRDefault="00C632B4" w:rsidP="007D722A">
            <w:pPr>
              <w:pStyle w:val="NoSpacing"/>
              <w:jc w:val="both"/>
              <w:rPr>
                <w:sz w:val="20"/>
                <w:szCs w:val="20"/>
              </w:rPr>
            </w:pPr>
          </w:p>
        </w:tc>
        <w:tc>
          <w:tcPr>
            <w:tcW w:w="285" w:type="dxa"/>
            <w:tcBorders>
              <w:bottom w:val="single" w:sz="4" w:space="0" w:color="auto"/>
            </w:tcBorders>
          </w:tcPr>
          <w:p w:rsidR="00C632B4" w:rsidRPr="00F45A62" w:rsidRDefault="00B23348" w:rsidP="00986E1A">
            <w:pPr>
              <w:pStyle w:val="NoSpacing"/>
              <w:jc w:val="center"/>
              <w:rPr>
                <w:sz w:val="20"/>
                <w:szCs w:val="20"/>
              </w:rPr>
            </w:pPr>
            <w:sdt>
              <w:sdtPr>
                <w:rPr>
                  <w:sz w:val="20"/>
                  <w:szCs w:val="20"/>
                </w:rPr>
                <w:id w:val="191671721"/>
                <w:citation/>
              </w:sdtPr>
              <w:sdtContent>
                <w:r>
                  <w:rPr>
                    <w:sz w:val="20"/>
                    <w:szCs w:val="20"/>
                  </w:rPr>
                  <w:fldChar w:fldCharType="begin"/>
                </w:r>
                <w:r w:rsidR="00C632B4">
                  <w:rPr>
                    <w:sz w:val="20"/>
                    <w:szCs w:val="20"/>
                  </w:rPr>
                  <w:instrText xml:space="preserve"> CITATION c \l 1061 </w:instrText>
                </w:r>
                <w:r>
                  <w:rPr>
                    <w:sz w:val="20"/>
                    <w:szCs w:val="20"/>
                  </w:rPr>
                  <w:fldChar w:fldCharType="separate"/>
                </w:r>
                <w:r w:rsidR="005B76C8" w:rsidRPr="005B76C8">
                  <w:rPr>
                    <w:noProof/>
                    <w:sz w:val="20"/>
                    <w:szCs w:val="20"/>
                  </w:rPr>
                  <w:t>[</w:t>
                </w:r>
                <w:hyperlink w:anchor="c" w:history="1">
                  <w:r w:rsidR="005B76C8" w:rsidRPr="005B76C8">
                    <w:rPr>
                      <w:rStyle w:val="Heading2Char"/>
                      <w:rFonts w:eastAsiaTheme="minorEastAsia" w:cstheme="minorBidi"/>
                      <w:noProof/>
                      <w:sz w:val="20"/>
                      <w:szCs w:val="20"/>
                    </w:rPr>
                    <w:t>48</w:t>
                  </w:r>
                </w:hyperlink>
                <w:r w:rsidR="005B76C8" w:rsidRPr="005B76C8">
                  <w:rPr>
                    <w:noProof/>
                    <w:sz w:val="20"/>
                    <w:szCs w:val="20"/>
                  </w:rPr>
                  <w:t>]</w:t>
                </w:r>
                <w:r>
                  <w:rPr>
                    <w:sz w:val="20"/>
                    <w:szCs w:val="20"/>
                  </w:rPr>
                  <w:fldChar w:fldCharType="end"/>
                </w:r>
              </w:sdtContent>
            </w:sdt>
          </w:p>
        </w:tc>
      </w:tr>
    </w:tbl>
    <w:p w:rsidR="007D086C" w:rsidRDefault="007D086C" w:rsidP="007D722A">
      <w:pPr>
        <w:rPr>
          <w:b/>
        </w:rPr>
      </w:pPr>
    </w:p>
    <w:p w:rsidR="00C632B4" w:rsidRDefault="00970E07" w:rsidP="0048027B">
      <w:pPr>
        <w:jc w:val="center"/>
      </w:pPr>
      <w:r>
        <w:rPr>
          <w:b/>
        </w:rPr>
        <w:t>Tabel 6</w:t>
      </w:r>
      <w:r w:rsidR="00C632B4" w:rsidRPr="000B41E1">
        <w:rPr>
          <w:b/>
        </w:rPr>
        <w:t>:</w:t>
      </w:r>
      <w:r w:rsidR="00C632B4">
        <w:t xml:space="preserve"> Pote</w:t>
      </w:r>
      <w:r w:rsidR="00F23110">
        <w:t>ntsi</w:t>
      </w:r>
      <w:r w:rsidR="00E412D8">
        <w:t xml:space="preserve">aaliparameetrid avaldise </w:t>
      </w:r>
      <w:r w:rsidR="00F23110">
        <w:t>22</w:t>
      </w:r>
      <w:r w:rsidR="00C632B4">
        <w:t xml:space="preserve"> jaoks.</w:t>
      </w:r>
    </w:p>
    <w:p w:rsidR="00C632B4" w:rsidRDefault="00C632B4" w:rsidP="007D722A"/>
    <w:tbl>
      <w:tblPr>
        <w:tblW w:w="6998" w:type="dxa"/>
        <w:jc w:val="center"/>
        <w:tblLook w:val="04A0"/>
      </w:tblPr>
      <w:tblGrid>
        <w:gridCol w:w="867"/>
        <w:gridCol w:w="144"/>
        <w:gridCol w:w="861"/>
        <w:gridCol w:w="64"/>
        <w:gridCol w:w="1201"/>
        <w:gridCol w:w="425"/>
        <w:gridCol w:w="754"/>
        <w:gridCol w:w="434"/>
        <w:gridCol w:w="766"/>
        <w:gridCol w:w="251"/>
        <w:gridCol w:w="1231"/>
      </w:tblGrid>
      <w:tr w:rsidR="00C632B4" w:rsidRPr="00F45A62" w:rsidTr="00697754">
        <w:trPr>
          <w:trHeight w:val="274"/>
          <w:jc w:val="center"/>
        </w:trPr>
        <w:tc>
          <w:tcPr>
            <w:tcW w:w="867" w:type="dxa"/>
            <w:tcBorders>
              <w:top w:val="single" w:sz="4" w:space="0" w:color="auto"/>
              <w:bottom w:val="single" w:sz="4" w:space="0" w:color="auto"/>
            </w:tcBorders>
            <w:shd w:val="clear" w:color="auto" w:fill="auto"/>
          </w:tcPr>
          <w:p w:rsidR="00C632B4" w:rsidRPr="00F45A62" w:rsidRDefault="00C632B4" w:rsidP="008F754E">
            <w:pPr>
              <w:pStyle w:val="NoSpacing"/>
              <w:spacing w:line="276" w:lineRule="auto"/>
              <w:rPr>
                <w:sz w:val="20"/>
                <w:szCs w:val="20"/>
              </w:rPr>
            </w:pPr>
            <w:r w:rsidRPr="00F45A62">
              <w:rPr>
                <w:sz w:val="20"/>
                <w:szCs w:val="20"/>
              </w:rPr>
              <w:lastRenderedPageBreak/>
              <w:t>Aatom</w:t>
            </w:r>
          </w:p>
        </w:tc>
        <w:tc>
          <w:tcPr>
            <w:tcW w:w="1005" w:type="dxa"/>
            <w:gridSpan w:val="2"/>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rPr>
                <w:sz w:val="20"/>
                <w:szCs w:val="20"/>
              </w:rPr>
            </w:pPr>
            <w:r w:rsidRPr="00F45A62">
              <w:rPr>
                <w:sz w:val="20"/>
                <w:szCs w:val="20"/>
              </w:rPr>
              <w:t>Aatom</w:t>
            </w:r>
          </w:p>
        </w:tc>
        <w:tc>
          <w:tcPr>
            <w:tcW w:w="1690" w:type="dxa"/>
            <w:gridSpan w:val="3"/>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jc w:val="center"/>
              <w:rPr>
                <w:sz w:val="20"/>
                <w:szCs w:val="20"/>
              </w:rPr>
            </w:pPr>
            <w:r w:rsidRPr="00F45A62">
              <w:rPr>
                <w:sz w:val="20"/>
                <w:szCs w:val="20"/>
              </w:rPr>
              <w:t>K</w:t>
            </w:r>
            <w:r w:rsidRPr="00F45A62">
              <w:rPr>
                <w:sz w:val="20"/>
                <w:szCs w:val="20"/>
                <w:vertAlign w:val="subscript"/>
              </w:rPr>
              <w:t>1</w:t>
            </w:r>
            <w:r w:rsidRPr="00F45A62">
              <w:rPr>
                <w:sz w:val="20"/>
                <w:szCs w:val="20"/>
              </w:rPr>
              <w:t xml:space="preserve"> /</w:t>
            </w:r>
          </w:p>
          <w:p w:rsidR="00C632B4" w:rsidRPr="00F45A62" w:rsidRDefault="00C632B4" w:rsidP="008F754E">
            <w:pPr>
              <w:pStyle w:val="NoSpacing"/>
              <w:spacing w:line="276" w:lineRule="auto"/>
              <w:jc w:val="center"/>
              <w:rPr>
                <w:i/>
                <w:sz w:val="20"/>
                <w:szCs w:val="20"/>
                <w:vertAlign w:val="superscript"/>
              </w:rPr>
            </w:pPr>
            <w:r w:rsidRPr="00F45A62">
              <w:rPr>
                <w:i/>
                <w:sz w:val="20"/>
                <w:szCs w:val="20"/>
              </w:rPr>
              <w:t>kcal mol</w:t>
            </w:r>
            <w:r w:rsidRPr="00F45A62">
              <w:rPr>
                <w:i/>
                <w:sz w:val="20"/>
                <w:szCs w:val="20"/>
                <w:vertAlign w:val="superscript"/>
              </w:rPr>
              <w:t>-1</w:t>
            </w:r>
          </w:p>
        </w:tc>
        <w:tc>
          <w:tcPr>
            <w:tcW w:w="754" w:type="dxa"/>
            <w:tcBorders>
              <w:top w:val="single" w:sz="4" w:space="0" w:color="auto"/>
              <w:bottom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K</w:t>
            </w:r>
            <w:r w:rsidRPr="00F45A62">
              <w:rPr>
                <w:sz w:val="20"/>
                <w:szCs w:val="20"/>
                <w:vertAlign w:val="subscript"/>
              </w:rPr>
              <w:t>2</w:t>
            </w:r>
            <w:r w:rsidRPr="00F45A62">
              <w:rPr>
                <w:sz w:val="20"/>
                <w:szCs w:val="20"/>
              </w:rPr>
              <w:t xml:space="preserve"> / </w:t>
            </w:r>
          </w:p>
          <w:p w:rsidR="00C632B4" w:rsidRPr="00F45A62" w:rsidRDefault="00C632B4" w:rsidP="007D722A">
            <w:pPr>
              <w:pStyle w:val="NoSpacing"/>
              <w:spacing w:line="276" w:lineRule="auto"/>
              <w:jc w:val="both"/>
              <w:rPr>
                <w:i/>
                <w:sz w:val="20"/>
                <w:szCs w:val="20"/>
              </w:rPr>
            </w:pPr>
            <w:r w:rsidRPr="00F45A62">
              <w:rPr>
                <w:rFonts w:cs="Times New Roman"/>
                <w:i/>
                <w:sz w:val="20"/>
                <w:szCs w:val="20"/>
              </w:rPr>
              <w:t>Å</w:t>
            </w:r>
          </w:p>
        </w:tc>
        <w:tc>
          <w:tcPr>
            <w:tcW w:w="1451" w:type="dxa"/>
            <w:gridSpan w:val="3"/>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jc w:val="center"/>
              <w:rPr>
                <w:sz w:val="20"/>
                <w:szCs w:val="20"/>
              </w:rPr>
            </w:pPr>
            <w:r w:rsidRPr="00F45A62">
              <w:rPr>
                <w:sz w:val="20"/>
                <w:szCs w:val="20"/>
              </w:rPr>
              <w:t>K</w:t>
            </w:r>
            <w:r w:rsidRPr="00F45A62">
              <w:rPr>
                <w:sz w:val="20"/>
                <w:szCs w:val="20"/>
                <w:vertAlign w:val="subscript"/>
              </w:rPr>
              <w:t>3</w:t>
            </w:r>
            <w:r w:rsidRPr="00F45A62">
              <w:rPr>
                <w:sz w:val="20"/>
                <w:szCs w:val="20"/>
              </w:rPr>
              <w:t xml:space="preserve"> /</w:t>
            </w:r>
          </w:p>
          <w:p w:rsidR="00C632B4" w:rsidRPr="00F45A62" w:rsidRDefault="00C632B4" w:rsidP="008F754E">
            <w:pPr>
              <w:pStyle w:val="NoSpacing"/>
              <w:spacing w:line="276" w:lineRule="auto"/>
              <w:jc w:val="center"/>
              <w:rPr>
                <w:sz w:val="20"/>
                <w:szCs w:val="20"/>
                <w:vertAlign w:val="superscript"/>
              </w:rPr>
            </w:pPr>
            <w:r w:rsidRPr="00F45A62">
              <w:rPr>
                <w:i/>
                <w:sz w:val="20"/>
                <w:szCs w:val="20"/>
              </w:rPr>
              <w:t>kcal mol</w:t>
            </w:r>
            <w:r w:rsidRPr="00F45A62">
              <w:rPr>
                <w:i/>
                <w:sz w:val="20"/>
                <w:szCs w:val="20"/>
                <w:vertAlign w:val="superscript"/>
              </w:rPr>
              <w:t>-</w:t>
            </w:r>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Pr="00F45A62">
              <w:rPr>
                <w:rFonts w:cs="Times New Roman"/>
                <w:i/>
                <w:sz w:val="20"/>
                <w:szCs w:val="20"/>
                <w:vertAlign w:val="superscript"/>
              </w:rPr>
              <w:t>6</w:t>
            </w:r>
          </w:p>
        </w:tc>
        <w:tc>
          <w:tcPr>
            <w:tcW w:w="1231" w:type="dxa"/>
            <w:tcBorders>
              <w:top w:val="single" w:sz="4" w:space="0" w:color="auto"/>
              <w:bottom w:val="single" w:sz="4" w:space="0" w:color="auto"/>
            </w:tcBorders>
          </w:tcPr>
          <w:p w:rsidR="00C632B4" w:rsidRPr="00F45A62" w:rsidRDefault="00C632B4" w:rsidP="008F754E">
            <w:pPr>
              <w:pStyle w:val="NoSpacing"/>
              <w:spacing w:line="276" w:lineRule="auto"/>
              <w:jc w:val="center"/>
              <w:rPr>
                <w:sz w:val="20"/>
                <w:szCs w:val="20"/>
              </w:rPr>
            </w:pPr>
            <w:r w:rsidRPr="00F45A62">
              <w:rPr>
                <w:sz w:val="20"/>
                <w:szCs w:val="20"/>
              </w:rPr>
              <w:t>Viide</w:t>
            </w:r>
          </w:p>
        </w:tc>
      </w:tr>
      <w:tr w:rsidR="00C632B4" w:rsidRPr="00F45A62" w:rsidTr="00697754">
        <w:trPr>
          <w:trHeight w:val="274"/>
          <w:jc w:val="center"/>
        </w:trPr>
        <w:tc>
          <w:tcPr>
            <w:tcW w:w="1011" w:type="dxa"/>
            <w:gridSpan w:val="2"/>
            <w:tcBorders>
              <w:top w:val="single" w:sz="4" w:space="0" w:color="auto"/>
            </w:tcBorders>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xPE</w:t>
            </w:r>
          </w:p>
        </w:tc>
        <w:tc>
          <w:tcPr>
            <w:tcW w:w="925" w:type="dxa"/>
            <w:gridSpan w:val="2"/>
            <w:tcBorders>
              <w:top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Li</w:t>
            </w:r>
          </w:p>
        </w:tc>
        <w:tc>
          <w:tcPr>
            <w:tcW w:w="1201" w:type="dxa"/>
            <w:tcBorders>
              <w:top w:val="single" w:sz="4" w:space="0" w:color="auto"/>
            </w:tcBorders>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31574.0</w:t>
            </w:r>
          </w:p>
        </w:tc>
        <w:tc>
          <w:tcPr>
            <w:tcW w:w="1613" w:type="dxa"/>
            <w:gridSpan w:val="3"/>
            <w:tcBorders>
              <w:top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0.15362</w:t>
            </w:r>
          </w:p>
        </w:tc>
        <w:tc>
          <w:tcPr>
            <w:tcW w:w="766" w:type="dxa"/>
            <w:tcBorders>
              <w:top w:val="single" w:sz="4" w:space="0" w:color="auto"/>
            </w:tcBorders>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24.4</w:t>
            </w:r>
          </w:p>
        </w:tc>
        <w:tc>
          <w:tcPr>
            <w:tcW w:w="1482" w:type="dxa"/>
            <w:gridSpan w:val="2"/>
            <w:tcBorders>
              <w:top w:val="single" w:sz="4" w:space="0" w:color="auto"/>
            </w:tcBorders>
          </w:tcPr>
          <w:p w:rsidR="00C632B4" w:rsidRPr="007806D1" w:rsidRDefault="008F754E" w:rsidP="00B75B3F">
            <w:pPr>
              <w:pStyle w:val="NoSpacing"/>
              <w:spacing w:line="276" w:lineRule="auto"/>
              <w:jc w:val="center"/>
              <w:rPr>
                <w:sz w:val="20"/>
                <w:szCs w:val="20"/>
              </w:rPr>
            </w:pPr>
            <w:r>
              <w:rPr>
                <w:sz w:val="20"/>
                <w:szCs w:val="20"/>
              </w:rPr>
              <w:t xml:space="preserve">   </w:t>
            </w:r>
            <w:sdt>
              <w:sdtPr>
                <w:rPr>
                  <w:sz w:val="20"/>
                  <w:szCs w:val="20"/>
                </w:rPr>
                <w:id w:val="191671699"/>
                <w:citation/>
              </w:sdtPr>
              <w:sdtContent>
                <w:r w:rsidR="00B23348">
                  <w:rPr>
                    <w:sz w:val="20"/>
                    <w:szCs w:val="20"/>
                  </w:rPr>
                  <w:fldChar w:fldCharType="begin"/>
                </w:r>
                <w:r w:rsidR="00B75B3F">
                  <w:rPr>
                    <w:sz w:val="20"/>
                    <w:szCs w:val="20"/>
                  </w:rPr>
                  <w:instrText xml:space="preserve"> CITATION e \l 1061  </w:instrText>
                </w:r>
                <w:r w:rsidR="00B23348">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sidR="00B23348">
                  <w:rPr>
                    <w:sz w:val="20"/>
                    <w:szCs w:val="20"/>
                  </w:rPr>
                  <w:fldChar w:fldCharType="end"/>
                </w:r>
              </w:sdtContent>
            </w:sdt>
          </w:p>
        </w:tc>
      </w:tr>
      <w:tr w:rsidR="00C632B4" w:rsidRPr="00F45A62" w:rsidTr="00697754">
        <w:trPr>
          <w:trHeight w:val="277"/>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sz w:val="20"/>
                <w:szCs w:val="20"/>
              </w:rPr>
              <w:t>858371.4</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0.21670</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1150.2</w:t>
            </w:r>
          </w:p>
        </w:tc>
        <w:tc>
          <w:tcPr>
            <w:tcW w:w="1482" w:type="dxa"/>
            <w:gridSpan w:val="2"/>
          </w:tcPr>
          <w:p w:rsidR="00C632B4" w:rsidRPr="007806D1" w:rsidRDefault="008F754E" w:rsidP="00B75B3F">
            <w:pPr>
              <w:pStyle w:val="NoSpacing"/>
              <w:spacing w:line="276" w:lineRule="auto"/>
              <w:jc w:val="center"/>
              <w:rPr>
                <w:sz w:val="20"/>
                <w:szCs w:val="20"/>
              </w:rPr>
            </w:pPr>
            <w:r>
              <w:rPr>
                <w:sz w:val="20"/>
                <w:szCs w:val="20"/>
              </w:rPr>
              <w:t xml:space="preserve">   </w:t>
            </w:r>
            <w:sdt>
              <w:sdtPr>
                <w:rPr>
                  <w:sz w:val="20"/>
                  <w:szCs w:val="20"/>
                </w:rPr>
                <w:id w:val="191671700"/>
                <w:citation/>
              </w:sdtPr>
              <w:sdtContent>
                <w:r w:rsidR="00B23348">
                  <w:rPr>
                    <w:sz w:val="20"/>
                    <w:szCs w:val="20"/>
                  </w:rPr>
                  <w:fldChar w:fldCharType="begin"/>
                </w:r>
                <w:r w:rsidR="00B75B3F">
                  <w:rPr>
                    <w:sz w:val="20"/>
                    <w:szCs w:val="20"/>
                  </w:rPr>
                  <w:instrText xml:space="preserve"> CITATION e \l 1061  </w:instrText>
                </w:r>
                <w:r w:rsidR="00B23348">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sidR="00B23348">
                  <w:rPr>
                    <w:sz w:val="20"/>
                    <w:szCs w:val="20"/>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sz w:val="20"/>
                <w:szCs w:val="20"/>
              </w:rPr>
              <w:t>164064.4</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0.23295</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212.2</w:t>
            </w:r>
          </w:p>
        </w:tc>
        <w:tc>
          <w:tcPr>
            <w:tcW w:w="1482" w:type="dxa"/>
            <w:gridSpan w:val="2"/>
          </w:tcPr>
          <w:p w:rsidR="00C632B4" w:rsidRPr="007806D1" w:rsidRDefault="008F754E" w:rsidP="00B75B3F">
            <w:pPr>
              <w:pStyle w:val="NoSpacing"/>
              <w:spacing w:line="276" w:lineRule="auto"/>
              <w:jc w:val="center"/>
              <w:rPr>
                <w:sz w:val="20"/>
                <w:szCs w:val="20"/>
              </w:rPr>
            </w:pPr>
            <w:r>
              <w:rPr>
                <w:sz w:val="20"/>
                <w:szCs w:val="20"/>
              </w:rPr>
              <w:t xml:space="preserve">   </w:t>
            </w:r>
            <w:sdt>
              <w:sdtPr>
                <w:rPr>
                  <w:sz w:val="20"/>
                  <w:szCs w:val="20"/>
                </w:rPr>
                <w:id w:val="191671701"/>
                <w:citation/>
              </w:sdtPr>
              <w:sdtContent>
                <w:r w:rsidR="00B23348">
                  <w:rPr>
                    <w:sz w:val="20"/>
                    <w:szCs w:val="20"/>
                  </w:rPr>
                  <w:fldChar w:fldCharType="begin"/>
                </w:r>
                <w:r w:rsidR="00B75B3F">
                  <w:rPr>
                    <w:sz w:val="20"/>
                    <w:szCs w:val="20"/>
                  </w:rPr>
                  <w:instrText xml:space="preserve"> CITATION e \l 1061  </w:instrText>
                </w:r>
                <w:r w:rsidR="00B23348">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sidR="00B23348">
                  <w:rPr>
                    <w:sz w:val="20"/>
                    <w:szCs w:val="20"/>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Li</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rFonts w:eastAsia="Times New Roman"/>
                <w:color w:val="000000"/>
                <w:sz w:val="20"/>
                <w:szCs w:val="20"/>
                <w:lang w:val="en-US"/>
              </w:rPr>
              <w:t>31463.3</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0.15103</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rFonts w:eastAsia="Times New Roman"/>
                <w:color w:val="000000"/>
                <w:sz w:val="20"/>
                <w:szCs w:val="20"/>
                <w:lang w:val="en-US"/>
              </w:rPr>
              <w:t>4.3</w:t>
            </w:r>
          </w:p>
        </w:tc>
        <w:tc>
          <w:tcPr>
            <w:tcW w:w="1482" w:type="dxa"/>
            <w:gridSpan w:val="2"/>
          </w:tcPr>
          <w:p w:rsidR="00C632B4" w:rsidRPr="007806D1"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2"/>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0.19564</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82" w:type="dxa"/>
            <w:gridSpan w:val="2"/>
          </w:tcPr>
          <w:p w:rsidR="00C632B4" w:rsidRPr="007806D1"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3"/>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0.20266</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82" w:type="dxa"/>
            <w:gridSpan w:val="2"/>
          </w:tcPr>
          <w:p w:rsidR="00C632B4" w:rsidRPr="007806D1"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4"/>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0.30251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r w:rsidR="008F754E">
              <w:rPr>
                <w:rFonts w:eastAsia="Times New Roman"/>
                <w:color w:val="000000"/>
                <w:sz w:val="20"/>
                <w:szCs w:val="20"/>
                <w:lang w:val="en-US"/>
              </w:rPr>
              <w:t xml:space="preserve"> </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4"/>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0.2755</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5"/>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sz w:val="20"/>
                <w:szCs w:val="20"/>
              </w:rPr>
              <w:t>H</w:t>
            </w:r>
            <w:r w:rsidRPr="00F45A62">
              <w:rPr>
                <w:sz w:val="20"/>
                <w:szCs w:val="20"/>
                <w:vertAlign w:val="subscript"/>
              </w:rPr>
              <w:t>yPEO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0.27151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6"/>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0.26681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82" w:type="dxa"/>
            <w:gridSpan w:val="2"/>
          </w:tcPr>
          <w:p w:rsidR="00C632B4" w:rsidRPr="00F45A62"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28"/>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C</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0.26681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82" w:type="dxa"/>
            <w:gridSpan w:val="2"/>
          </w:tcPr>
          <w:p w:rsidR="00C632B4" w:rsidRPr="00F45A62"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29"/>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H</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0.24254</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82" w:type="dxa"/>
            <w:gridSpan w:val="2"/>
          </w:tcPr>
          <w:p w:rsidR="00C632B4" w:rsidRPr="00F45A62"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0"/>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r w:rsidRPr="00F45A62">
              <w:rPr>
                <w:sz w:val="20"/>
                <w:szCs w:val="20"/>
              </w:rPr>
              <w:t>H</w:t>
            </w:r>
            <w:r w:rsidRPr="00F45A62">
              <w:rPr>
                <w:sz w:val="20"/>
                <w:szCs w:val="20"/>
                <w:vertAlign w:val="subscript"/>
              </w:rPr>
              <w:t>yPEO</w:t>
            </w:r>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0.24137</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82" w:type="dxa"/>
            <w:gridSpan w:val="2"/>
          </w:tcPr>
          <w:p w:rsidR="00C632B4" w:rsidRPr="00F45A62"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1"/>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0.2445</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7"/>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0.2405</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8"/>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P</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0.23641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82" w:type="dxa"/>
            <w:gridSpan w:val="2"/>
          </w:tcPr>
          <w:p w:rsidR="00C632B4" w:rsidRPr="00F45A62"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2"/>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F</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0.23641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82" w:type="dxa"/>
            <w:gridSpan w:val="2"/>
          </w:tcPr>
          <w:p w:rsidR="00C632B4" w:rsidRPr="00F45A62" w:rsidRDefault="008F754E" w:rsidP="00B75B3F">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3"/>
                <w:citation/>
              </w:sdtPr>
              <w:sdtContent>
                <w:r w:rsidR="00B23348">
                  <w:rPr>
                    <w:rFonts w:eastAsia="Times New Roman"/>
                    <w:color w:val="000000"/>
                    <w:sz w:val="20"/>
                    <w:szCs w:val="20"/>
                    <w:lang w:val="en-US"/>
                  </w:rPr>
                  <w:fldChar w:fldCharType="begin"/>
                </w:r>
                <w:r w:rsidR="00B75B3F">
                  <w:rPr>
                    <w:rFonts w:eastAsia="Times New Roman"/>
                    <w:color w:val="000000"/>
                    <w:sz w:val="20"/>
                    <w:szCs w:val="20"/>
                  </w:rPr>
                  <w:instrText xml:space="preserve"> CITATION e \l 1061  </w:instrText>
                </w:r>
                <w:r w:rsidR="00B23348">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e" w:history="1">
                  <w:r w:rsidR="005B76C8" w:rsidRPr="005B76C8">
                    <w:rPr>
                      <w:rStyle w:val="Heading2Char"/>
                      <w:rFonts w:eastAsia="Times New Roman" w:cstheme="minorBidi"/>
                      <w:noProof/>
                      <w:color w:val="000000"/>
                      <w:sz w:val="20"/>
                      <w:szCs w:val="20"/>
                    </w:rPr>
                    <w:t>49</w:t>
                  </w:r>
                </w:hyperlink>
                <w:r w:rsidR="005B76C8" w:rsidRPr="005B76C8">
                  <w:rPr>
                    <w:rFonts w:eastAsia="Times New Roman"/>
                    <w:noProof/>
                    <w:color w:val="000000"/>
                    <w:sz w:val="20"/>
                    <w:szCs w:val="20"/>
                  </w:rPr>
                  <w:t>]</w:t>
                </w:r>
                <w:r w:rsidR="00B23348">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0.30251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9"/>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0.24849</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70"/>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tcBorders>
              <w:bottom w:val="single" w:sz="4" w:space="0" w:color="auto"/>
            </w:tcBorders>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mPEO</w:t>
            </w:r>
          </w:p>
        </w:tc>
        <w:tc>
          <w:tcPr>
            <w:tcW w:w="925" w:type="dxa"/>
            <w:gridSpan w:val="2"/>
            <w:tcBorders>
              <w:bottom w:val="single" w:sz="4" w:space="0" w:color="auto"/>
            </w:tcBorders>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mPEO</w:t>
            </w:r>
          </w:p>
        </w:tc>
        <w:tc>
          <w:tcPr>
            <w:tcW w:w="1201" w:type="dxa"/>
            <w:tcBorders>
              <w:bottom w:val="single" w:sz="4" w:space="0" w:color="auto"/>
            </w:tcBorders>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613" w:type="dxa"/>
            <w:gridSpan w:val="3"/>
            <w:tcBorders>
              <w:bottom w:val="single" w:sz="4" w:space="0" w:color="auto"/>
            </w:tcBorders>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0.2405</w:t>
            </w:r>
          </w:p>
        </w:tc>
        <w:tc>
          <w:tcPr>
            <w:tcW w:w="766" w:type="dxa"/>
            <w:tcBorders>
              <w:bottom w:val="single" w:sz="4" w:space="0" w:color="auto"/>
            </w:tcBorders>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82" w:type="dxa"/>
            <w:gridSpan w:val="2"/>
            <w:tcBorders>
              <w:bottom w:val="single" w:sz="4" w:space="0" w:color="auto"/>
            </w:tcBorders>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71"/>
                <w:citation/>
              </w:sdtPr>
              <w:sdtContent>
                <w:r w:rsidR="00B23348"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23348" w:rsidRPr="00F45A62">
                  <w:rPr>
                    <w:rFonts w:eastAsia="Times New Roman"/>
                    <w:color w:val="000000"/>
                    <w:sz w:val="20"/>
                    <w:szCs w:val="20"/>
                    <w:lang w:val="en-US"/>
                  </w:rPr>
                  <w:fldChar w:fldCharType="separate"/>
                </w:r>
                <w:r w:rsidR="005B76C8" w:rsidRPr="005B76C8">
                  <w:rPr>
                    <w:rFonts w:eastAsia="Times New Roman"/>
                    <w:noProof/>
                    <w:color w:val="000000"/>
                    <w:sz w:val="20"/>
                    <w:szCs w:val="20"/>
                  </w:rPr>
                  <w:t>[</w:t>
                </w:r>
                <w:hyperlink w:anchor="c" w:history="1">
                  <w:r w:rsidR="005B76C8" w:rsidRPr="005B76C8">
                    <w:rPr>
                      <w:rStyle w:val="Heading2Char"/>
                      <w:rFonts w:eastAsia="Times New Roman" w:cstheme="minorBidi"/>
                      <w:noProof/>
                      <w:color w:val="000000"/>
                      <w:sz w:val="20"/>
                      <w:szCs w:val="20"/>
                    </w:rPr>
                    <w:t>48</w:t>
                  </w:r>
                </w:hyperlink>
                <w:r w:rsidR="005B76C8" w:rsidRPr="005B76C8">
                  <w:rPr>
                    <w:rFonts w:eastAsia="Times New Roman"/>
                    <w:noProof/>
                    <w:color w:val="000000"/>
                    <w:sz w:val="20"/>
                    <w:szCs w:val="20"/>
                  </w:rPr>
                  <w:t>]</w:t>
                </w:r>
                <w:r w:rsidR="00B23348" w:rsidRPr="00F45A62">
                  <w:rPr>
                    <w:rFonts w:eastAsia="Times New Roman"/>
                    <w:color w:val="000000"/>
                    <w:sz w:val="20"/>
                    <w:szCs w:val="20"/>
                    <w:lang w:val="en-US"/>
                  </w:rPr>
                  <w:fldChar w:fldCharType="end"/>
                </w:r>
              </w:sdtContent>
            </w:sdt>
          </w:p>
        </w:tc>
      </w:tr>
    </w:tbl>
    <w:p w:rsidR="00C632B4" w:rsidRDefault="00970E07" w:rsidP="0048027B">
      <w:pPr>
        <w:jc w:val="center"/>
      </w:pPr>
      <w:r>
        <w:rPr>
          <w:b/>
        </w:rPr>
        <w:t>Tabel 7</w:t>
      </w:r>
      <w:r w:rsidR="00C632B4" w:rsidRPr="000B41E1">
        <w:rPr>
          <w:b/>
        </w:rPr>
        <w:t>:</w:t>
      </w:r>
      <w:r w:rsidR="00C632B4">
        <w:t xml:space="preserve">  Pote</w:t>
      </w:r>
      <w:r w:rsidR="00F23110">
        <w:t>ntsiaaliparameetrid avaldise 21</w:t>
      </w:r>
      <w:r w:rsidR="00C632B4">
        <w:t xml:space="preserve"> jaoks.</w:t>
      </w:r>
    </w:p>
    <w:p w:rsidR="00C632B4" w:rsidRDefault="00C632B4" w:rsidP="007D722A"/>
    <w:tbl>
      <w:tblPr>
        <w:tblStyle w:val="TableGrid"/>
        <w:tblW w:w="0" w:type="auto"/>
        <w:jc w:val="center"/>
        <w:tblInd w:w="202" w:type="dxa"/>
        <w:tblLayout w:type="fixed"/>
        <w:tblLook w:val="04A0"/>
      </w:tblPr>
      <w:tblGrid>
        <w:gridCol w:w="864"/>
        <w:gridCol w:w="887"/>
        <w:gridCol w:w="105"/>
        <w:gridCol w:w="1029"/>
        <w:gridCol w:w="142"/>
        <w:gridCol w:w="992"/>
        <w:gridCol w:w="284"/>
        <w:gridCol w:w="850"/>
        <w:gridCol w:w="567"/>
        <w:gridCol w:w="709"/>
        <w:gridCol w:w="567"/>
        <w:gridCol w:w="1180"/>
      </w:tblGrid>
      <w:tr w:rsidR="00C632B4" w:rsidTr="00697754">
        <w:trPr>
          <w:trHeight w:val="308"/>
          <w:jc w:val="center"/>
        </w:trPr>
        <w:tc>
          <w:tcPr>
            <w:tcW w:w="864" w:type="dxa"/>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Aatom</w:t>
            </w:r>
          </w:p>
        </w:tc>
        <w:tc>
          <w:tcPr>
            <w:tcW w:w="992" w:type="dxa"/>
            <w:gridSpan w:val="2"/>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Aatom</w:t>
            </w:r>
          </w:p>
        </w:tc>
        <w:tc>
          <w:tcPr>
            <w:tcW w:w="1171" w:type="dxa"/>
            <w:gridSpan w:val="2"/>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6 </w:t>
            </w:r>
            <w:r w:rsidRPr="00F45A62">
              <w:rPr>
                <w:sz w:val="20"/>
                <w:szCs w:val="20"/>
              </w:rPr>
              <w:t>/</w:t>
            </w:r>
          </w:p>
          <w:p w:rsidR="00C632B4" w:rsidRPr="00F45A62" w:rsidRDefault="00C632B4" w:rsidP="00B23DAE">
            <w:pPr>
              <w:pStyle w:val="NoSpacing"/>
              <w:jc w:val="center"/>
              <w:rPr>
                <w:i/>
                <w:sz w:val="20"/>
                <w:szCs w:val="20"/>
                <w:vertAlign w:val="superscript"/>
              </w:rPr>
            </w:pPr>
            <w:r w:rsidRPr="00F45A62">
              <w:rPr>
                <w:i/>
                <w:sz w:val="20"/>
                <w:szCs w:val="20"/>
              </w:rPr>
              <w:t>kcal mol</w:t>
            </w:r>
            <w:r w:rsidRPr="00F45A62">
              <w:rPr>
                <w:i/>
                <w:sz w:val="20"/>
                <w:szCs w:val="20"/>
                <w:vertAlign w:val="superscript"/>
              </w:rPr>
              <w:t>-1</w:t>
            </w:r>
          </w:p>
        </w:tc>
        <w:tc>
          <w:tcPr>
            <w:tcW w:w="992" w:type="dxa"/>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7 </w:t>
            </w:r>
            <w:r w:rsidRPr="00F45A62">
              <w:rPr>
                <w:sz w:val="20"/>
                <w:szCs w:val="20"/>
              </w:rPr>
              <w:t>/</w:t>
            </w:r>
          </w:p>
          <w:p w:rsidR="00C632B4" w:rsidRPr="00F45A62" w:rsidRDefault="00C632B4" w:rsidP="00B23DAE">
            <w:pPr>
              <w:pStyle w:val="NoSpacing"/>
              <w:jc w:val="center"/>
              <w:rPr>
                <w:i/>
                <w:sz w:val="20"/>
                <w:szCs w:val="20"/>
              </w:rPr>
            </w:pPr>
            <w:r w:rsidRPr="00F45A62">
              <w:rPr>
                <w:rFonts w:cs="Times New Roman"/>
                <w:i/>
                <w:sz w:val="20"/>
                <w:szCs w:val="20"/>
              </w:rPr>
              <w:t>Å</w:t>
            </w:r>
          </w:p>
        </w:tc>
        <w:tc>
          <w:tcPr>
            <w:tcW w:w="1701" w:type="dxa"/>
            <w:gridSpan w:val="3"/>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8 </w:t>
            </w:r>
            <w:r w:rsidRPr="00F45A62">
              <w:rPr>
                <w:sz w:val="20"/>
                <w:szCs w:val="20"/>
              </w:rPr>
              <w:t>/</w:t>
            </w:r>
          </w:p>
          <w:p w:rsidR="00C632B4" w:rsidRPr="00F45A62" w:rsidRDefault="00C632B4" w:rsidP="00B23DAE">
            <w:pPr>
              <w:pStyle w:val="NoSpacing"/>
              <w:jc w:val="center"/>
              <w:rPr>
                <w:sz w:val="20"/>
                <w:szCs w:val="20"/>
                <w:vertAlign w:val="superscript"/>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276" w:type="dxa"/>
            <w:gridSpan w:val="2"/>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K</w:t>
            </w:r>
            <w:r w:rsidRPr="00F45A62">
              <w:rPr>
                <w:sz w:val="20"/>
                <w:szCs w:val="20"/>
                <w:vertAlign w:val="subscript"/>
              </w:rPr>
              <w:t xml:space="preserve">9 </w:t>
            </w:r>
            <w:r w:rsidRPr="00F45A62">
              <w:rPr>
                <w:sz w:val="20"/>
                <w:szCs w:val="20"/>
              </w:rPr>
              <w:t>/</w:t>
            </w:r>
          </w:p>
          <w:p w:rsidR="00C632B4" w:rsidRPr="00F45A62" w:rsidRDefault="00C632B4" w:rsidP="007D722A">
            <w:pPr>
              <w:pStyle w:val="NoSpacing"/>
              <w:jc w:val="both"/>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80" w:type="dxa"/>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Viide</w:t>
            </w:r>
          </w:p>
        </w:tc>
      </w:tr>
      <w:tr w:rsidR="00C632B4" w:rsidTr="00697754">
        <w:trPr>
          <w:trHeight w:val="308"/>
          <w:jc w:val="center"/>
        </w:trPr>
        <w:tc>
          <w:tcPr>
            <w:tcW w:w="864" w:type="dxa"/>
            <w:tcBorders>
              <w:top w:val="single" w:sz="4" w:space="0" w:color="auto"/>
              <w:left w:val="nil"/>
              <w:bottom w:val="nil"/>
              <w:right w:val="nil"/>
            </w:tcBorders>
          </w:tcPr>
          <w:p w:rsidR="00C632B4" w:rsidRPr="00F45A62" w:rsidRDefault="00C632B4" w:rsidP="007D722A">
            <w:pPr>
              <w:pStyle w:val="NoSpacing"/>
              <w:jc w:val="both"/>
              <w:rPr>
                <w:sz w:val="20"/>
                <w:szCs w:val="20"/>
              </w:rPr>
            </w:pPr>
            <w:r w:rsidRPr="00F45A62">
              <w:rPr>
                <w:sz w:val="20"/>
                <w:szCs w:val="20"/>
              </w:rPr>
              <w:t>C</w:t>
            </w:r>
            <w:r w:rsidRPr="00F45A62">
              <w:rPr>
                <w:sz w:val="20"/>
                <w:szCs w:val="20"/>
                <w:vertAlign w:val="subscript"/>
              </w:rPr>
              <w:t>yPEO</w:t>
            </w:r>
          </w:p>
        </w:tc>
        <w:tc>
          <w:tcPr>
            <w:tcW w:w="887" w:type="dxa"/>
            <w:tcBorders>
              <w:top w:val="single" w:sz="4" w:space="0" w:color="auto"/>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8140.0</w:t>
            </w:r>
          </w:p>
        </w:tc>
        <w:tc>
          <w:tcPr>
            <w:tcW w:w="1418" w:type="dxa"/>
            <w:gridSpan w:val="3"/>
            <w:tcBorders>
              <w:top w:val="single" w:sz="4" w:space="0" w:color="auto"/>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0.37994</w:t>
            </w:r>
          </w:p>
        </w:tc>
        <w:tc>
          <w:tcPr>
            <w:tcW w:w="850" w:type="dxa"/>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473.2</w:t>
            </w:r>
          </w:p>
        </w:tc>
        <w:tc>
          <w:tcPr>
            <w:tcW w:w="1747" w:type="dxa"/>
            <w:gridSpan w:val="2"/>
            <w:tcBorders>
              <w:top w:val="single" w:sz="4" w:space="0" w:color="auto"/>
              <w:left w:val="nil"/>
              <w:bottom w:val="nil"/>
              <w:right w:val="nil"/>
            </w:tcBorders>
          </w:tcPr>
          <w:p w:rsidR="00C632B4" w:rsidRPr="00F45A62" w:rsidRDefault="00B23348" w:rsidP="00B75B3F">
            <w:pPr>
              <w:pStyle w:val="NoSpacing"/>
              <w:jc w:val="center"/>
              <w:rPr>
                <w:sz w:val="20"/>
                <w:szCs w:val="20"/>
              </w:rPr>
            </w:pPr>
            <w:sdt>
              <w:sdtPr>
                <w:rPr>
                  <w:sz w:val="20"/>
                  <w:szCs w:val="20"/>
                </w:rPr>
                <w:id w:val="3734186"/>
                <w:citation/>
              </w:sdtPr>
              <w:sdtContent>
                <w:r>
                  <w:rPr>
                    <w:sz w:val="20"/>
                    <w:szCs w:val="20"/>
                  </w:rPr>
                  <w:fldChar w:fldCharType="begin"/>
                </w:r>
                <w:r w:rsidR="00B75B3F">
                  <w:rPr>
                    <w:sz w:val="20"/>
                    <w:szCs w:val="20"/>
                  </w:rPr>
                  <w:instrText xml:space="preserve"> CITATION g \l 1061  </w:instrText>
                </w:r>
                <w:r>
                  <w:rPr>
                    <w:sz w:val="20"/>
                    <w:szCs w:val="20"/>
                  </w:rPr>
                  <w:fldChar w:fldCharType="separate"/>
                </w:r>
                <w:r w:rsidR="005B76C8" w:rsidRPr="005B76C8">
                  <w:rPr>
                    <w:noProof/>
                    <w:sz w:val="20"/>
                    <w:szCs w:val="20"/>
                  </w:rPr>
                  <w:t>[</w:t>
                </w:r>
                <w:hyperlink w:anchor="g" w:history="1">
                  <w:r w:rsidR="005B76C8" w:rsidRPr="005B76C8">
                    <w:rPr>
                      <w:rStyle w:val="Heading2Char"/>
                      <w:rFonts w:eastAsiaTheme="minorEastAsia" w:cstheme="minorBidi"/>
                      <w:noProof/>
                      <w:sz w:val="20"/>
                      <w:szCs w:val="20"/>
                    </w:rPr>
                    <w:t>52</w:t>
                  </w:r>
                </w:hyperlink>
                <w:r w:rsidR="005B76C8" w:rsidRPr="005B76C8">
                  <w:rPr>
                    <w:noProof/>
                    <w:sz w:val="20"/>
                    <w:szCs w:val="20"/>
                  </w:rPr>
                  <w:t>]</w:t>
                </w:r>
                <w:r>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H</w:t>
            </w:r>
            <w:r w:rsidRPr="00F45A62">
              <w:rPr>
                <w:sz w:val="20"/>
                <w:szCs w:val="20"/>
                <w:vertAlign w:val="subscript"/>
              </w:rPr>
              <w:t>yPEO</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13139.0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0.22852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94.1</w:t>
            </w:r>
          </w:p>
        </w:tc>
        <w:tc>
          <w:tcPr>
            <w:tcW w:w="1747" w:type="dxa"/>
            <w:gridSpan w:val="2"/>
            <w:tcBorders>
              <w:top w:val="nil"/>
              <w:left w:val="nil"/>
              <w:bottom w:val="nil"/>
              <w:right w:val="nil"/>
            </w:tcBorders>
          </w:tcPr>
          <w:p w:rsidR="00C632B4" w:rsidRPr="00F45A62" w:rsidRDefault="00B23348" w:rsidP="00B75B3F">
            <w:pPr>
              <w:pStyle w:val="NoSpacing"/>
              <w:jc w:val="center"/>
              <w:rPr>
                <w:sz w:val="20"/>
                <w:szCs w:val="20"/>
              </w:rPr>
            </w:pPr>
            <w:sdt>
              <w:sdtPr>
                <w:rPr>
                  <w:sz w:val="20"/>
                  <w:szCs w:val="20"/>
                </w:rPr>
                <w:id w:val="3734187"/>
                <w:citation/>
              </w:sdtPr>
              <w:sdtContent>
                <w:r>
                  <w:rPr>
                    <w:sz w:val="20"/>
                    <w:szCs w:val="20"/>
                  </w:rPr>
                  <w:fldChar w:fldCharType="begin"/>
                </w:r>
                <w:r w:rsidR="00B75B3F">
                  <w:rPr>
                    <w:sz w:val="20"/>
                    <w:szCs w:val="20"/>
                  </w:rPr>
                  <w:instrText xml:space="preserve"> CITATION g \l 1061  </w:instrText>
                </w:r>
                <w:r>
                  <w:rPr>
                    <w:sz w:val="20"/>
                    <w:szCs w:val="20"/>
                  </w:rPr>
                  <w:fldChar w:fldCharType="separate"/>
                </w:r>
                <w:r w:rsidR="005B76C8" w:rsidRPr="005B76C8">
                  <w:rPr>
                    <w:noProof/>
                    <w:sz w:val="20"/>
                    <w:szCs w:val="20"/>
                  </w:rPr>
                  <w:t>[</w:t>
                </w:r>
                <w:hyperlink w:anchor="g" w:history="1">
                  <w:r w:rsidR="005B76C8" w:rsidRPr="005B76C8">
                    <w:rPr>
                      <w:rStyle w:val="Heading2Char"/>
                      <w:rFonts w:eastAsiaTheme="minorEastAsia" w:cstheme="minorBidi"/>
                      <w:noProof/>
                      <w:sz w:val="20"/>
                      <w:szCs w:val="20"/>
                    </w:rPr>
                    <w:t>52</w:t>
                  </w:r>
                </w:hyperlink>
                <w:r w:rsidR="005B76C8" w:rsidRPr="005B76C8">
                  <w:rPr>
                    <w:noProof/>
                    <w:sz w:val="20"/>
                    <w:szCs w:val="20"/>
                  </w:rPr>
                  <w:t>]</w:t>
                </w:r>
                <w:r>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O</w:t>
            </w:r>
            <w:r w:rsidRPr="00F45A62">
              <w:rPr>
                <w:sz w:val="20"/>
                <w:szCs w:val="20"/>
                <w:vertAlign w:val="subscript"/>
              </w:rPr>
              <w:t>PEO</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191106.0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0.1751</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76.9</w:t>
            </w:r>
          </w:p>
        </w:tc>
        <w:tc>
          <w:tcPr>
            <w:tcW w:w="1747" w:type="dxa"/>
            <w:gridSpan w:val="2"/>
            <w:tcBorders>
              <w:top w:val="nil"/>
              <w:left w:val="nil"/>
              <w:bottom w:val="nil"/>
              <w:right w:val="nil"/>
            </w:tcBorders>
          </w:tcPr>
          <w:p w:rsidR="00C632B4" w:rsidRPr="00F45A62" w:rsidRDefault="00B23348" w:rsidP="00B75B3F">
            <w:pPr>
              <w:pStyle w:val="NoSpacing"/>
              <w:jc w:val="center"/>
              <w:rPr>
                <w:sz w:val="20"/>
                <w:szCs w:val="20"/>
              </w:rPr>
            </w:pPr>
            <w:sdt>
              <w:sdtPr>
                <w:rPr>
                  <w:sz w:val="20"/>
                  <w:szCs w:val="20"/>
                </w:rPr>
                <w:id w:val="3734188"/>
                <w:citation/>
              </w:sdtPr>
              <w:sdtContent>
                <w:r>
                  <w:rPr>
                    <w:sz w:val="20"/>
                    <w:szCs w:val="20"/>
                  </w:rPr>
                  <w:fldChar w:fldCharType="begin"/>
                </w:r>
                <w:r w:rsidR="00B75B3F">
                  <w:rPr>
                    <w:sz w:val="20"/>
                    <w:szCs w:val="20"/>
                  </w:rPr>
                  <w:instrText xml:space="preserve"> CITATION g \l 1061  </w:instrText>
                </w:r>
                <w:r>
                  <w:rPr>
                    <w:sz w:val="20"/>
                    <w:szCs w:val="20"/>
                  </w:rPr>
                  <w:fldChar w:fldCharType="separate"/>
                </w:r>
                <w:r w:rsidR="005B76C8" w:rsidRPr="005B76C8">
                  <w:rPr>
                    <w:noProof/>
                    <w:sz w:val="20"/>
                    <w:szCs w:val="20"/>
                  </w:rPr>
                  <w:t>[</w:t>
                </w:r>
                <w:hyperlink w:anchor="g" w:history="1">
                  <w:r w:rsidR="005B76C8" w:rsidRPr="005B76C8">
                    <w:rPr>
                      <w:rStyle w:val="Heading2Char"/>
                      <w:rFonts w:eastAsiaTheme="minorEastAsia" w:cstheme="minorBidi"/>
                      <w:noProof/>
                      <w:sz w:val="20"/>
                      <w:szCs w:val="20"/>
                    </w:rPr>
                    <w:t>52</w:t>
                  </w:r>
                </w:hyperlink>
                <w:r w:rsidR="005B76C8" w:rsidRPr="005B76C8">
                  <w:rPr>
                    <w:noProof/>
                    <w:sz w:val="20"/>
                    <w:szCs w:val="20"/>
                  </w:rPr>
                  <w:t>]</w:t>
                </w:r>
                <w:r>
                  <w:rPr>
                    <w:sz w:val="20"/>
                    <w:szCs w:val="20"/>
                  </w:rPr>
                  <w:fldChar w:fldCharType="end"/>
                </w:r>
              </w:sdtContent>
            </w:sdt>
          </w:p>
        </w:tc>
      </w:tr>
      <w:tr w:rsidR="00C632B4" w:rsidTr="00697754">
        <w:trPr>
          <w:trHeight w:val="293"/>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Li</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Li</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44195.0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0.13742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9.4</w:t>
            </w:r>
          </w:p>
        </w:tc>
        <w:tc>
          <w:tcPr>
            <w:tcW w:w="1747" w:type="dxa"/>
            <w:gridSpan w:val="2"/>
            <w:tcBorders>
              <w:top w:val="nil"/>
              <w:left w:val="nil"/>
              <w:bottom w:val="nil"/>
              <w:right w:val="nil"/>
            </w:tcBorders>
          </w:tcPr>
          <w:p w:rsidR="00C632B4" w:rsidRPr="00F45A62" w:rsidRDefault="00B23348" w:rsidP="00B75B3F">
            <w:pPr>
              <w:pStyle w:val="NoSpacing"/>
              <w:jc w:val="center"/>
              <w:rPr>
                <w:sz w:val="20"/>
                <w:szCs w:val="20"/>
              </w:rPr>
            </w:pPr>
            <w:sdt>
              <w:sdtPr>
                <w:rPr>
                  <w:sz w:val="20"/>
                  <w:szCs w:val="20"/>
                </w:rPr>
                <w:id w:val="3734189"/>
                <w:citation/>
              </w:sdtPr>
              <w:sdtContent>
                <w:r>
                  <w:rPr>
                    <w:sz w:val="20"/>
                    <w:szCs w:val="20"/>
                  </w:rPr>
                  <w:fldChar w:fldCharType="begin"/>
                </w:r>
                <w:r w:rsidR="00B75B3F">
                  <w:rPr>
                    <w:sz w:val="20"/>
                    <w:szCs w:val="20"/>
                  </w:rPr>
                  <w:instrText xml:space="preserve"> CITATION g \l 1061  </w:instrText>
                </w:r>
                <w:r>
                  <w:rPr>
                    <w:sz w:val="20"/>
                    <w:szCs w:val="20"/>
                  </w:rPr>
                  <w:fldChar w:fldCharType="separate"/>
                </w:r>
                <w:r w:rsidR="005B76C8" w:rsidRPr="005B76C8">
                  <w:rPr>
                    <w:noProof/>
                    <w:sz w:val="20"/>
                    <w:szCs w:val="20"/>
                  </w:rPr>
                  <w:t>[</w:t>
                </w:r>
                <w:hyperlink w:anchor="g" w:history="1">
                  <w:r w:rsidR="005B76C8" w:rsidRPr="005B76C8">
                    <w:rPr>
                      <w:rStyle w:val="Heading2Char"/>
                      <w:rFonts w:eastAsiaTheme="minorEastAsia" w:cstheme="minorBidi"/>
                      <w:noProof/>
                      <w:sz w:val="20"/>
                      <w:szCs w:val="20"/>
                    </w:rPr>
                    <w:t>52</w:t>
                  </w:r>
                </w:hyperlink>
                <w:r w:rsidR="005B76C8" w:rsidRPr="005B76C8">
                  <w:rPr>
                    <w:noProof/>
                    <w:sz w:val="20"/>
                    <w:szCs w:val="20"/>
                  </w:rPr>
                  <w:t>]</w:t>
                </w:r>
                <w:r>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Li</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P</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2964.0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0.48781</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270.0</w:t>
            </w:r>
          </w:p>
        </w:tc>
        <w:tc>
          <w:tcPr>
            <w:tcW w:w="1747" w:type="dxa"/>
            <w:gridSpan w:val="2"/>
            <w:tcBorders>
              <w:top w:val="nil"/>
              <w:left w:val="nil"/>
              <w:bottom w:val="nil"/>
              <w:right w:val="nil"/>
            </w:tcBorders>
          </w:tcPr>
          <w:p w:rsidR="00C632B4" w:rsidRPr="00F45A62" w:rsidRDefault="00B23348" w:rsidP="00B75B3F">
            <w:pPr>
              <w:pStyle w:val="NoSpacing"/>
              <w:jc w:val="center"/>
              <w:rPr>
                <w:sz w:val="20"/>
                <w:szCs w:val="20"/>
              </w:rPr>
            </w:pPr>
            <w:sdt>
              <w:sdtPr>
                <w:rPr>
                  <w:sz w:val="20"/>
                  <w:szCs w:val="20"/>
                </w:rPr>
                <w:id w:val="3734134"/>
                <w:citation/>
              </w:sdtPr>
              <w:sdtContent>
                <w:r>
                  <w:rPr>
                    <w:sz w:val="20"/>
                    <w:szCs w:val="20"/>
                  </w:rPr>
                  <w:fldChar w:fldCharType="begin"/>
                </w:r>
                <w:r w:rsidR="00B75B3F">
                  <w:rPr>
                    <w:sz w:val="20"/>
                    <w:szCs w:val="20"/>
                  </w:rPr>
                  <w:instrText xml:space="preserve"> CITATION e \l 1061  </w:instrText>
                </w:r>
                <w:r>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P</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P</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5000000.0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2350.0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600.0</w:t>
            </w:r>
          </w:p>
        </w:tc>
        <w:tc>
          <w:tcPr>
            <w:tcW w:w="1747" w:type="dxa"/>
            <w:gridSpan w:val="2"/>
            <w:tcBorders>
              <w:top w:val="nil"/>
              <w:left w:val="nil"/>
              <w:bottom w:val="nil"/>
              <w:right w:val="nil"/>
            </w:tcBorders>
          </w:tcPr>
          <w:p w:rsidR="00C632B4" w:rsidRPr="00F45A62" w:rsidRDefault="00B23348" w:rsidP="00B75B3F">
            <w:pPr>
              <w:pStyle w:val="NoSpacing"/>
              <w:jc w:val="center"/>
              <w:rPr>
                <w:sz w:val="20"/>
                <w:szCs w:val="20"/>
              </w:rPr>
            </w:pPr>
            <w:sdt>
              <w:sdtPr>
                <w:rPr>
                  <w:sz w:val="20"/>
                  <w:szCs w:val="20"/>
                </w:rPr>
                <w:id w:val="3734135"/>
                <w:citation/>
              </w:sdtPr>
              <w:sdtContent>
                <w:r>
                  <w:rPr>
                    <w:sz w:val="20"/>
                    <w:szCs w:val="20"/>
                  </w:rPr>
                  <w:fldChar w:fldCharType="begin"/>
                </w:r>
                <w:r w:rsidR="00B75B3F">
                  <w:rPr>
                    <w:sz w:val="20"/>
                    <w:szCs w:val="20"/>
                  </w:rPr>
                  <w:instrText xml:space="preserve"> CITATION e \l 1061  </w:instrText>
                </w:r>
                <w:r>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P</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F</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2014881.0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0.2324</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500.0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195.0</w:t>
            </w:r>
          </w:p>
        </w:tc>
        <w:tc>
          <w:tcPr>
            <w:tcW w:w="1747" w:type="dxa"/>
            <w:gridSpan w:val="2"/>
            <w:tcBorders>
              <w:top w:val="nil"/>
              <w:left w:val="nil"/>
              <w:bottom w:val="nil"/>
              <w:right w:val="nil"/>
            </w:tcBorders>
          </w:tcPr>
          <w:p w:rsidR="00C632B4" w:rsidRPr="00F45A62" w:rsidRDefault="00B23348" w:rsidP="00B75B3F">
            <w:pPr>
              <w:pStyle w:val="NoSpacing"/>
              <w:jc w:val="center"/>
              <w:rPr>
                <w:sz w:val="20"/>
                <w:szCs w:val="20"/>
              </w:rPr>
            </w:pPr>
            <w:sdt>
              <w:sdtPr>
                <w:rPr>
                  <w:sz w:val="20"/>
                  <w:szCs w:val="20"/>
                </w:rPr>
                <w:id w:val="3734136"/>
                <w:citation/>
              </w:sdtPr>
              <w:sdtContent>
                <w:r>
                  <w:rPr>
                    <w:sz w:val="20"/>
                    <w:szCs w:val="20"/>
                  </w:rPr>
                  <w:fldChar w:fldCharType="begin"/>
                </w:r>
                <w:r w:rsidR="00B75B3F">
                  <w:rPr>
                    <w:sz w:val="20"/>
                    <w:szCs w:val="20"/>
                  </w:rPr>
                  <w:instrText xml:space="preserve"> CITATION e \l 1061  </w:instrText>
                </w:r>
                <w:r>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Pr>
                    <w:sz w:val="20"/>
                    <w:szCs w:val="20"/>
                  </w:rPr>
                  <w:fldChar w:fldCharType="end"/>
                </w:r>
              </w:sdtContent>
            </w:sdt>
          </w:p>
        </w:tc>
      </w:tr>
      <w:tr w:rsidR="00C632B4" w:rsidTr="00697754">
        <w:trPr>
          <w:trHeight w:val="323"/>
          <w:jc w:val="center"/>
        </w:trPr>
        <w:tc>
          <w:tcPr>
            <w:tcW w:w="864" w:type="dxa"/>
            <w:tcBorders>
              <w:top w:val="nil"/>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F</w:t>
            </w:r>
          </w:p>
        </w:tc>
        <w:tc>
          <w:tcPr>
            <w:tcW w:w="887" w:type="dxa"/>
            <w:tcBorders>
              <w:top w:val="nil"/>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F</w:t>
            </w:r>
          </w:p>
        </w:tc>
        <w:tc>
          <w:tcPr>
            <w:tcW w:w="1134" w:type="dxa"/>
            <w:gridSpan w:val="2"/>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135782.0</w:t>
            </w:r>
          </w:p>
        </w:tc>
        <w:tc>
          <w:tcPr>
            <w:tcW w:w="1418" w:type="dxa"/>
            <w:gridSpan w:val="3"/>
            <w:tcBorders>
              <w:top w:val="nil"/>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 xml:space="preserve">    0.21997</w:t>
            </w:r>
          </w:p>
        </w:tc>
        <w:tc>
          <w:tcPr>
            <w:tcW w:w="850" w:type="dxa"/>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80.0</w:t>
            </w:r>
          </w:p>
        </w:tc>
        <w:tc>
          <w:tcPr>
            <w:tcW w:w="1276" w:type="dxa"/>
            <w:gridSpan w:val="2"/>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31.0</w:t>
            </w:r>
          </w:p>
        </w:tc>
        <w:tc>
          <w:tcPr>
            <w:tcW w:w="1747" w:type="dxa"/>
            <w:gridSpan w:val="2"/>
            <w:tcBorders>
              <w:top w:val="nil"/>
              <w:left w:val="nil"/>
              <w:bottom w:val="single" w:sz="4" w:space="0" w:color="auto"/>
              <w:right w:val="nil"/>
            </w:tcBorders>
          </w:tcPr>
          <w:p w:rsidR="00C632B4" w:rsidRPr="00F45A62" w:rsidRDefault="00B23348" w:rsidP="00B75B3F">
            <w:pPr>
              <w:pStyle w:val="NoSpacing"/>
              <w:jc w:val="center"/>
              <w:rPr>
                <w:sz w:val="20"/>
                <w:szCs w:val="20"/>
              </w:rPr>
            </w:pPr>
            <w:sdt>
              <w:sdtPr>
                <w:rPr>
                  <w:sz w:val="20"/>
                  <w:szCs w:val="20"/>
                </w:rPr>
                <w:id w:val="3734137"/>
                <w:citation/>
              </w:sdtPr>
              <w:sdtContent>
                <w:r>
                  <w:rPr>
                    <w:sz w:val="20"/>
                    <w:szCs w:val="20"/>
                  </w:rPr>
                  <w:fldChar w:fldCharType="begin"/>
                </w:r>
                <w:r w:rsidR="00B75B3F">
                  <w:rPr>
                    <w:sz w:val="20"/>
                    <w:szCs w:val="20"/>
                  </w:rPr>
                  <w:instrText xml:space="preserve"> CITATION e \l 1061  </w:instrText>
                </w:r>
                <w:r>
                  <w:rPr>
                    <w:sz w:val="20"/>
                    <w:szCs w:val="20"/>
                  </w:rPr>
                  <w:fldChar w:fldCharType="separate"/>
                </w:r>
                <w:r w:rsidR="005B76C8" w:rsidRPr="005B76C8">
                  <w:rPr>
                    <w:noProof/>
                    <w:sz w:val="20"/>
                    <w:szCs w:val="20"/>
                  </w:rPr>
                  <w:t>[</w:t>
                </w:r>
                <w:hyperlink w:anchor="e" w:history="1">
                  <w:r w:rsidR="005B76C8" w:rsidRPr="005B76C8">
                    <w:rPr>
                      <w:rStyle w:val="Heading2Char"/>
                      <w:rFonts w:eastAsiaTheme="minorEastAsia" w:cstheme="minorBidi"/>
                      <w:noProof/>
                      <w:sz w:val="20"/>
                      <w:szCs w:val="20"/>
                    </w:rPr>
                    <w:t>49</w:t>
                  </w:r>
                </w:hyperlink>
                <w:r w:rsidR="005B76C8" w:rsidRPr="005B76C8">
                  <w:rPr>
                    <w:noProof/>
                    <w:sz w:val="20"/>
                    <w:szCs w:val="20"/>
                  </w:rPr>
                  <w:t>]</w:t>
                </w:r>
                <w:r>
                  <w:rPr>
                    <w:sz w:val="20"/>
                    <w:szCs w:val="20"/>
                  </w:rPr>
                  <w:fldChar w:fldCharType="end"/>
                </w:r>
              </w:sdtContent>
            </w:sdt>
          </w:p>
        </w:tc>
      </w:tr>
    </w:tbl>
    <w:p w:rsidR="00C632B4" w:rsidRPr="00905142" w:rsidRDefault="00C632B4" w:rsidP="00837122">
      <w:pPr>
        <w:jc w:val="center"/>
      </w:pPr>
      <w:r w:rsidRPr="000B41E1">
        <w:rPr>
          <w:b/>
        </w:rPr>
        <w:t>Tabel 8:</w:t>
      </w:r>
      <w:r>
        <w:t xml:space="preserve"> Pote</w:t>
      </w:r>
      <w:r w:rsidR="00C42F89">
        <w:t xml:space="preserve">ntsiaaliparameetrid avaldise </w:t>
      </w:r>
      <w:r w:rsidR="00F23110">
        <w:t>23</w:t>
      </w:r>
      <w:r>
        <w:t xml:space="preserve"> jaoks.     </w:t>
      </w:r>
    </w:p>
    <w:p w:rsidR="00837122" w:rsidRDefault="00837122">
      <w:pPr>
        <w:spacing w:before="0" w:line="276" w:lineRule="auto"/>
        <w:rPr>
          <w:rFonts w:eastAsiaTheme="majorEastAsia" w:cs="Times New Roman"/>
          <w:bCs/>
          <w:color w:val="000000" w:themeColor="text1"/>
          <w:sz w:val="32"/>
          <w:szCs w:val="32"/>
        </w:rPr>
      </w:pPr>
      <w:bookmarkStart w:id="77" w:name="_Toc227145776"/>
      <w:bookmarkStart w:id="78" w:name="_Toc321348224"/>
      <w:r>
        <w:rPr>
          <w:rFonts w:cs="Times New Roman"/>
          <w:szCs w:val="32"/>
        </w:rPr>
        <w:br w:type="page"/>
      </w:r>
    </w:p>
    <w:p w:rsidR="00A74929" w:rsidRDefault="00A74929" w:rsidP="004E07FF">
      <w:pPr>
        <w:pStyle w:val="Heading1"/>
        <w:spacing w:line="480" w:lineRule="auto"/>
        <w:rPr>
          <w:rFonts w:cs="Times New Roman"/>
          <w:szCs w:val="32"/>
        </w:rPr>
      </w:pPr>
      <w:bookmarkStart w:id="79" w:name="_Toc325224188"/>
      <w:r w:rsidRPr="00DC2812">
        <w:rPr>
          <w:rFonts w:cs="Times New Roman"/>
          <w:szCs w:val="32"/>
        </w:rPr>
        <w:lastRenderedPageBreak/>
        <w:t xml:space="preserve">4.   </w:t>
      </w:r>
      <w:bookmarkStart w:id="80" w:name="_Toc227145777"/>
      <w:bookmarkEnd w:id="77"/>
      <w:r w:rsidRPr="00DC2812">
        <w:rPr>
          <w:rFonts w:cs="Times New Roman"/>
          <w:szCs w:val="32"/>
        </w:rPr>
        <w:t>TULEMUSED JA ANALÜÜS</w:t>
      </w:r>
      <w:bookmarkEnd w:id="78"/>
      <w:bookmarkEnd w:id="79"/>
      <w:bookmarkEnd w:id="80"/>
    </w:p>
    <w:p w:rsidR="004E07FF" w:rsidRPr="004E07FF" w:rsidRDefault="00A74929" w:rsidP="00AF1811">
      <w:pPr>
        <w:pStyle w:val="Heading2"/>
      </w:pPr>
      <w:bookmarkStart w:id="81" w:name="_Toc321348225"/>
      <w:bookmarkStart w:id="82" w:name="_Toc325224189"/>
      <w:r w:rsidRPr="00DC2812">
        <w:t>4.1.  Süsteemi genereerimine ja tasakaalust</w:t>
      </w:r>
      <w:r w:rsidR="00F95B70">
        <w:t>a</w:t>
      </w:r>
      <w:r w:rsidRPr="00DC2812">
        <w:t>mine.</w:t>
      </w:r>
      <w:bookmarkEnd w:id="81"/>
      <w:bookmarkEnd w:id="82"/>
    </w:p>
    <w:p w:rsidR="00A74929" w:rsidRDefault="00A74929" w:rsidP="004E07FF">
      <w:pPr>
        <w:rPr>
          <w:rFonts w:cs="Times New Roman"/>
          <w:szCs w:val="24"/>
        </w:rPr>
      </w:pPr>
      <w:r>
        <w:rPr>
          <w:rFonts w:cs="Times New Roman"/>
          <w:szCs w:val="24"/>
        </w:rPr>
        <w:t>Nagu juba eelnevalt mainitud</w:t>
      </w:r>
      <w:r w:rsidR="004E3B3C">
        <w:rPr>
          <w:rFonts w:cs="Times New Roman"/>
          <w:szCs w:val="24"/>
        </w:rPr>
        <w:t>,</w:t>
      </w:r>
      <w:r>
        <w:rPr>
          <w:rFonts w:cs="Times New Roman"/>
          <w:szCs w:val="24"/>
        </w:rPr>
        <w:t xml:space="preserve"> lisati genereeritud PE/PEO</w:t>
      </w:r>
      <w:r w:rsidR="00C42F89">
        <w:rPr>
          <w:rFonts w:cs="Times New Roman"/>
          <w:szCs w:val="24"/>
        </w:rPr>
        <w:t xml:space="preserve"> </w:t>
      </w:r>
      <w:r>
        <w:rPr>
          <w:rFonts w:cs="Times New Roman"/>
          <w:szCs w:val="24"/>
        </w:rPr>
        <w:t>ahelaid sisaldanud 60 x 60 x 60 Å boksi juhuslikult valitud kohtadesse vajalik arv Li</w:t>
      </w:r>
      <w:r>
        <w:t>-ioone</w:t>
      </w:r>
      <w:r>
        <w:rPr>
          <w:rFonts w:cs="Times New Roman"/>
          <w:szCs w:val="24"/>
        </w:rPr>
        <w:t xml:space="preserve"> ja PF</w:t>
      </w:r>
      <w:r>
        <w:rPr>
          <w:rFonts w:cs="Times New Roman"/>
          <w:szCs w:val="24"/>
          <w:vertAlign w:val="subscript"/>
        </w:rPr>
        <w:t>6</w:t>
      </w:r>
      <w:r>
        <w:rPr>
          <w:rFonts w:cs="Times New Roman"/>
          <w:szCs w:val="24"/>
          <w:vertAlign w:val="superscript"/>
        </w:rPr>
        <w:t>-</w:t>
      </w:r>
      <w:r>
        <w:rPr>
          <w:rFonts w:cs="Times New Roman"/>
          <w:szCs w:val="24"/>
        </w:rPr>
        <w:t>-ioone. Et PE/PEO tihedus selles boksis ei vastanud ilmselgelt</w:t>
      </w:r>
      <w:r w:rsidR="004E3B3C">
        <w:rPr>
          <w:rFonts w:cs="Times New Roman"/>
          <w:szCs w:val="24"/>
        </w:rPr>
        <w:t xml:space="preserve"> aine reaalsele tihedusele, siis</w:t>
      </w:r>
      <w:r>
        <w:rPr>
          <w:rFonts w:cs="Times New Roman"/>
          <w:szCs w:val="24"/>
        </w:rPr>
        <w:t xml:space="preserve"> toimus teises ja neljandas etapis NPT käigus boksi lineaarmõõtmete vähenemine</w:t>
      </w:r>
      <w:r w:rsidRPr="00881CA9">
        <w:rPr>
          <w:rFonts w:cs="Times New Roman"/>
          <w:szCs w:val="24"/>
        </w:rPr>
        <w:t xml:space="preserve"> </w:t>
      </w:r>
      <w:r>
        <w:rPr>
          <w:rFonts w:cs="Times New Roman"/>
          <w:szCs w:val="24"/>
        </w:rPr>
        <w:t>ehk aine tiheduse kasvamine</w:t>
      </w:r>
      <w:r w:rsidR="00045AE8">
        <w:rPr>
          <w:rFonts w:cs="Times New Roman"/>
          <w:szCs w:val="24"/>
        </w:rPr>
        <w:t xml:space="preserve"> (joonis 10</w:t>
      </w:r>
      <w:r w:rsidR="00F95B70">
        <w:rPr>
          <w:rFonts w:cs="Times New Roman"/>
          <w:szCs w:val="24"/>
        </w:rPr>
        <w:t>)</w:t>
      </w:r>
      <w:r>
        <w:rPr>
          <w:rFonts w:cs="Times New Roman"/>
          <w:szCs w:val="24"/>
        </w:rPr>
        <w:t xml:space="preserve">. Viimase etapi alguses kahanesid simulatsiooniboksi mõõtmed  </w:t>
      </w:r>
      <w:r w:rsidR="00F95B70">
        <w:rPr>
          <w:rFonts w:cs="Times New Roman"/>
          <w:szCs w:val="24"/>
        </w:rPr>
        <w:t xml:space="preserve">ca. </w:t>
      </w:r>
      <w:r>
        <w:t>4</w:t>
      </w:r>
      <w:r w:rsidRPr="00F44CAB">
        <w:t>0Å x</w:t>
      </w:r>
      <w:r>
        <w:t xml:space="preserve"> 4</w:t>
      </w:r>
      <w:r w:rsidRPr="00F44CAB">
        <w:t>0Å x</w:t>
      </w:r>
      <w:r>
        <w:t xml:space="preserve"> 40Å-ni</w:t>
      </w:r>
      <w:r>
        <w:rPr>
          <w:rFonts w:cs="Times New Roman"/>
          <w:szCs w:val="24"/>
        </w:rPr>
        <w:t>. Tihedus saavutas realistliku väärtuse keskmiselt 5 ns peale NPT algust ja jäi kuni simulatsiooni lõpuni suhteliselt stabiilseks kõige kuue süsteemi korral</w:t>
      </w:r>
      <w:r w:rsidR="004E3B3C">
        <w:rPr>
          <w:rFonts w:cs="Times New Roman"/>
          <w:szCs w:val="24"/>
        </w:rPr>
        <w:t>. Jooniselt on näha</w:t>
      </w:r>
      <w:r w:rsidR="00F95B70">
        <w:rPr>
          <w:rFonts w:cs="Times New Roman"/>
          <w:szCs w:val="24"/>
        </w:rPr>
        <w:t xml:space="preserve"> trend, et </w:t>
      </w:r>
      <w:r>
        <w:rPr>
          <w:rFonts w:cs="Times New Roman"/>
          <w:szCs w:val="24"/>
        </w:rPr>
        <w:t>k</w:t>
      </w:r>
      <w:r w:rsidR="004E3B3C">
        <w:rPr>
          <w:rFonts w:cs="Times New Roman"/>
          <w:szCs w:val="24"/>
        </w:rPr>
        <w:t>õrvalahelate pikenedes suureneb</w:t>
      </w:r>
      <w:r>
        <w:rPr>
          <w:rFonts w:cs="Times New Roman"/>
          <w:szCs w:val="24"/>
        </w:rPr>
        <w:t xml:space="preserve"> süsteemi tihedus. </w:t>
      </w:r>
      <w:r w:rsidR="004E3B3C">
        <w:rPr>
          <w:rFonts w:cs="Times New Roman"/>
          <w:szCs w:val="24"/>
        </w:rPr>
        <w:t>See on tingitud sellest, et</w:t>
      </w:r>
      <w:r>
        <w:rPr>
          <w:rFonts w:cs="Times New Roman"/>
          <w:szCs w:val="24"/>
        </w:rPr>
        <w:t xml:space="preserve"> pikemate kõrvalahelate korral suureneb </w:t>
      </w:r>
      <w:r w:rsidR="004E3B3C">
        <w:rPr>
          <w:rFonts w:cs="Times New Roman"/>
          <w:szCs w:val="24"/>
        </w:rPr>
        <w:t>s</w:t>
      </w:r>
      <w:r>
        <w:rPr>
          <w:rFonts w:cs="Times New Roman"/>
          <w:szCs w:val="24"/>
        </w:rPr>
        <w:t>üsteemis PEO osakaal PE suhtes. Üldiselt on kõigi süsteemide ehk uuritava elektrolüüdi tihedus vahemikus 1200-1370 kg/m</w:t>
      </w:r>
      <w:r>
        <w:rPr>
          <w:rFonts w:cs="Times New Roman"/>
          <w:szCs w:val="24"/>
          <w:vertAlign w:val="superscript"/>
        </w:rPr>
        <w:t>3</w:t>
      </w:r>
      <w:r>
        <w:rPr>
          <w:rFonts w:cs="Times New Roman"/>
          <w:szCs w:val="24"/>
        </w:rPr>
        <w:t>. Analoogsel PEO</w:t>
      </w:r>
      <w:r>
        <w:rPr>
          <w:rFonts w:cs="Times New Roman"/>
          <w:szCs w:val="24"/>
          <w:vertAlign w:val="subscript"/>
        </w:rPr>
        <w:t>[30]</w:t>
      </w:r>
      <w:r>
        <w:rPr>
          <w:rFonts w:cs="Times New Roman"/>
          <w:szCs w:val="24"/>
        </w:rPr>
        <w:t xml:space="preserve"> - LiPF</w:t>
      </w:r>
      <w:r>
        <w:rPr>
          <w:rFonts w:cs="Times New Roman"/>
          <w:szCs w:val="24"/>
          <w:vertAlign w:val="subscript"/>
        </w:rPr>
        <w:t>6</w:t>
      </w:r>
      <w:r>
        <w:rPr>
          <w:rFonts w:cs="Times New Roman"/>
          <w:szCs w:val="24"/>
        </w:rPr>
        <w:t>-l põhineval simulatsioonil saadi elektrolüüdi tiheduseks 1350 kg/m</w:t>
      </w:r>
      <w:r>
        <w:rPr>
          <w:rFonts w:cs="Times New Roman"/>
          <w:szCs w:val="24"/>
          <w:vertAlign w:val="superscript"/>
        </w:rPr>
        <w:t>3</w:t>
      </w:r>
      <w:r w:rsidR="00DC04B1">
        <w:rPr>
          <w:rFonts w:cs="Times New Roman"/>
          <w:szCs w:val="24"/>
        </w:rPr>
        <w:t xml:space="preserve"> </w:t>
      </w:r>
      <w:sdt>
        <w:sdtPr>
          <w:rPr>
            <w:rFonts w:cs="Times New Roman"/>
            <w:szCs w:val="24"/>
          </w:rPr>
          <w:id w:val="328778"/>
          <w:citation/>
        </w:sdtPr>
        <w:sdtContent>
          <w:r w:rsidR="00B23348">
            <w:rPr>
              <w:rFonts w:cs="Times New Roman"/>
              <w:szCs w:val="24"/>
            </w:rPr>
            <w:fldChar w:fldCharType="begin"/>
          </w:r>
          <w:r w:rsidR="00B75B3F">
            <w:rPr>
              <w:rFonts w:cs="Times New Roman"/>
              <w:szCs w:val="24"/>
            </w:rPr>
            <w:instrText xml:space="preserve"> CITATION O \l 1061  </w:instrText>
          </w:r>
          <w:r w:rsidR="00B23348">
            <w:rPr>
              <w:rFonts w:cs="Times New Roman"/>
              <w:szCs w:val="24"/>
            </w:rPr>
            <w:fldChar w:fldCharType="separate"/>
          </w:r>
          <w:r w:rsidR="005B76C8" w:rsidRPr="005B76C8">
            <w:rPr>
              <w:rFonts w:cs="Times New Roman"/>
              <w:noProof/>
              <w:szCs w:val="24"/>
            </w:rPr>
            <w:t>[</w:t>
          </w:r>
          <w:hyperlink w:anchor="O" w:history="1">
            <w:r w:rsidR="005B76C8" w:rsidRPr="005B76C8">
              <w:rPr>
                <w:rStyle w:val="Heading2Char"/>
                <w:rFonts w:eastAsiaTheme="minorHAnsi" w:cs="Times New Roman"/>
                <w:noProof/>
                <w:sz w:val="24"/>
                <w:szCs w:val="24"/>
              </w:rPr>
              <w:t>53</w:t>
            </w:r>
          </w:hyperlink>
          <w:r w:rsidR="005B76C8" w:rsidRPr="005B76C8">
            <w:rPr>
              <w:rFonts w:cs="Times New Roman"/>
              <w:noProof/>
              <w:szCs w:val="24"/>
            </w:rPr>
            <w:t>]</w:t>
          </w:r>
          <w:r w:rsidR="00B23348">
            <w:rPr>
              <w:rFonts w:cs="Times New Roman"/>
              <w:szCs w:val="24"/>
            </w:rPr>
            <w:fldChar w:fldCharType="end"/>
          </w:r>
        </w:sdtContent>
      </w:sdt>
      <w:r>
        <w:rPr>
          <w:rFonts w:cs="Times New Roman"/>
          <w:szCs w:val="24"/>
        </w:rPr>
        <w:t>.</w:t>
      </w:r>
    </w:p>
    <w:p w:rsidR="004E07FF" w:rsidRDefault="004E07FF" w:rsidP="004E07FF">
      <w:pPr>
        <w:rPr>
          <w:rFonts w:cs="Times New Roman"/>
          <w:szCs w:val="24"/>
        </w:rPr>
      </w:pPr>
    </w:p>
    <w:p w:rsidR="00A74929" w:rsidRDefault="00A560D7" w:rsidP="00A74929">
      <w:pPr>
        <w:jc w:val="center"/>
        <w:rPr>
          <w:b/>
        </w:rPr>
      </w:pPr>
      <w:r>
        <w:rPr>
          <w:b/>
          <w:noProof/>
          <w:lang w:eastAsia="et-EE"/>
        </w:rPr>
        <w:drawing>
          <wp:inline distT="0" distB="0" distL="0" distR="0">
            <wp:extent cx="5760720" cy="3984388"/>
            <wp:effectExtent l="1905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760720" cy="3984388"/>
                    </a:xfrm>
                    <a:prstGeom prst="rect">
                      <a:avLst/>
                    </a:prstGeom>
                    <a:noFill/>
                    <a:ln w="9525">
                      <a:noFill/>
                      <a:miter lim="800000"/>
                      <a:headEnd/>
                      <a:tailEnd/>
                    </a:ln>
                  </pic:spPr>
                </pic:pic>
              </a:graphicData>
            </a:graphic>
          </wp:inline>
        </w:drawing>
      </w:r>
    </w:p>
    <w:p w:rsidR="00A74929" w:rsidRPr="00B614AA" w:rsidRDefault="00045AE8" w:rsidP="00A74929">
      <w:pPr>
        <w:rPr>
          <w:b/>
        </w:rPr>
      </w:pPr>
      <w:r>
        <w:rPr>
          <w:b/>
        </w:rPr>
        <w:t>Joonis 10</w:t>
      </w:r>
      <w:r w:rsidR="00A74929" w:rsidRPr="000B41E1">
        <w:rPr>
          <w:b/>
        </w:rPr>
        <w:t>:</w:t>
      </w:r>
      <w:r w:rsidR="00A74929">
        <w:t xml:space="preserve"> Süsteemide tiheduste sõltuvus</w:t>
      </w:r>
      <w:r w:rsidR="00F95B70">
        <w:t xml:space="preserve"> ajast</w:t>
      </w:r>
      <w:r w:rsidR="00053BF8">
        <w:t>.</w:t>
      </w:r>
    </w:p>
    <w:p w:rsidR="00A74929" w:rsidRPr="00AF1811" w:rsidRDefault="00A74929" w:rsidP="00AF1811">
      <w:pPr>
        <w:pStyle w:val="Heading2"/>
        <w:rPr>
          <w:szCs w:val="28"/>
        </w:rPr>
      </w:pPr>
      <w:bookmarkStart w:id="83" w:name="_Toc321348226"/>
      <w:bookmarkStart w:id="84" w:name="_Toc325224190"/>
      <w:r w:rsidRPr="006C3F1D">
        <w:lastRenderedPageBreak/>
        <w:t xml:space="preserve">4.2.  </w:t>
      </w:r>
      <w:bookmarkEnd w:id="83"/>
      <w:r w:rsidRPr="006C3F1D">
        <w:t>Süsteemi struktuur</w:t>
      </w:r>
      <w:bookmarkEnd w:id="84"/>
    </w:p>
    <w:p w:rsidR="00A74929" w:rsidRPr="00755D2E" w:rsidRDefault="00A74929" w:rsidP="00A74929">
      <w:pPr>
        <w:rPr>
          <w:rFonts w:cs="Times New Roman"/>
          <w:szCs w:val="24"/>
        </w:rPr>
      </w:pPr>
      <w:r>
        <w:t xml:space="preserve">Simulatsioonibokside </w:t>
      </w:r>
      <w:r w:rsidR="005234A1">
        <w:t>hetkepildid annavad ü</w:t>
      </w:r>
      <w:r>
        <w:t>levaatliku informatsiooni</w:t>
      </w:r>
      <w:r w:rsidR="00C4744D">
        <w:t xml:space="preserve"> süsteemi </w:t>
      </w:r>
      <w:r w:rsidR="00C42F89">
        <w:t>organiseerituse kohta. J</w:t>
      </w:r>
      <w:r>
        <w:t>oonisel 1</w:t>
      </w:r>
      <w:r w:rsidR="00045AE8">
        <w:t>1</w:t>
      </w:r>
      <w:r w:rsidR="00C42F89">
        <w:t xml:space="preserve"> on näha 6</w:t>
      </w:r>
      <w:r>
        <w:t>EO süsteemi simulatsiooni lõpphetk. Pildilt on selgelt näha, et soolad on lahustunud ioonideks polümeeriahelate polaarsetes osades, mida oligi oodata tänu Li-ioonide ja ahelahapnike vaheli</w:t>
      </w:r>
      <w:r w:rsidR="00053BF8">
        <w:t xml:space="preserve">ste  interaktsioonide tõttu.  Kohati võib </w:t>
      </w:r>
      <w:r>
        <w:t xml:space="preserve">märgata, et </w:t>
      </w:r>
      <w:r w:rsidR="00053BF8">
        <w:t>polüetüleenist peaahel on</w:t>
      </w:r>
      <w:r>
        <w:t xml:space="preserve"> paindunud </w:t>
      </w:r>
      <w:r w:rsidR="005234A1">
        <w:t xml:space="preserve">iseenese </w:t>
      </w:r>
      <w:r>
        <w:t>lähedale, moodustades mingis</w:t>
      </w:r>
      <w:r w:rsidR="005234A1">
        <w:t xml:space="preserve"> </w:t>
      </w:r>
      <w:r>
        <w:t>mõttes eraldava ruumiosa. Mõned osad mittepolaarsest peaahelast aga kalduvad olema vedrukujulise</w:t>
      </w:r>
      <w:r w:rsidR="005234A1">
        <w:t xml:space="preserve">d, </w:t>
      </w:r>
      <w:r w:rsidR="00982E4E">
        <w:t>soosides</w:t>
      </w:r>
      <w:r w:rsidR="00501C7B">
        <w:t xml:space="preserve"> k</w:t>
      </w:r>
      <w:r w:rsidR="00982E4E">
        <w:rPr>
          <w:rFonts w:cs="Times New Roman"/>
          <w:szCs w:val="24"/>
        </w:rPr>
        <w:t xml:space="preserve">õrvalahela põimumist </w:t>
      </w:r>
      <w:r>
        <w:rPr>
          <w:rFonts w:cs="Times New Roman"/>
          <w:szCs w:val="24"/>
        </w:rPr>
        <w:t>ümber Li-iooni</w:t>
      </w:r>
      <w:r w:rsidR="00982E4E">
        <w:rPr>
          <w:rFonts w:cs="Times New Roman"/>
          <w:szCs w:val="24"/>
        </w:rPr>
        <w:t>.</w:t>
      </w:r>
    </w:p>
    <w:p w:rsidR="00A74929" w:rsidRDefault="00A74929" w:rsidP="00A74929">
      <w:pPr>
        <w:jc w:val="center"/>
        <w:rPr>
          <w:b/>
        </w:rPr>
      </w:pPr>
      <w:r>
        <w:rPr>
          <w:rFonts w:cs="Times New Roman"/>
          <w:noProof/>
          <w:sz w:val="28"/>
          <w:szCs w:val="28"/>
          <w:lang w:eastAsia="et-EE"/>
        </w:rPr>
        <w:drawing>
          <wp:inline distT="0" distB="0" distL="0" distR="0">
            <wp:extent cx="5569491" cy="5495026"/>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8522" cy="5503936"/>
                    </a:xfrm>
                    <a:prstGeom prst="rect">
                      <a:avLst/>
                    </a:prstGeom>
                    <a:noFill/>
                    <a:ln w="9525">
                      <a:noFill/>
                      <a:miter lim="800000"/>
                      <a:headEnd/>
                      <a:tailEnd/>
                    </a:ln>
                  </pic:spPr>
                </pic:pic>
              </a:graphicData>
            </a:graphic>
          </wp:inline>
        </w:drawing>
      </w:r>
      <w:bookmarkStart w:id="85" w:name="_Toc321348227"/>
    </w:p>
    <w:p w:rsidR="00A74929" w:rsidRDefault="00045AE8" w:rsidP="00A74929">
      <w:r>
        <w:rPr>
          <w:b/>
        </w:rPr>
        <w:t>Joonis 11</w:t>
      </w:r>
      <w:r w:rsidR="00A74929" w:rsidRPr="000B41E1">
        <w:rPr>
          <w:b/>
        </w:rPr>
        <w:t>:</w:t>
      </w:r>
      <w:r w:rsidR="00C4744D">
        <w:t xml:space="preserve"> 6</w:t>
      </w:r>
      <w:r w:rsidR="00A74929">
        <w:t>EO süsteem perioodilises simulatsioonirakus. Sinisega on kujutatud peaahel, punasega kõrvalahelad, rohelisega soola anioonid PF</w:t>
      </w:r>
      <w:r w:rsidR="00A74929">
        <w:rPr>
          <w:vertAlign w:val="subscript"/>
        </w:rPr>
        <w:t>6</w:t>
      </w:r>
      <w:r w:rsidR="00A74929">
        <w:rPr>
          <w:vertAlign w:val="superscript"/>
        </w:rPr>
        <w:t>-</w:t>
      </w:r>
      <w:r w:rsidR="00A74929">
        <w:t xml:space="preserve"> ja kollasega Li-ioonid.</w:t>
      </w:r>
    </w:p>
    <w:p w:rsidR="00A74929" w:rsidRPr="003A1481" w:rsidRDefault="00A74929" w:rsidP="00AF1811">
      <w:pPr>
        <w:pStyle w:val="Heading2"/>
      </w:pPr>
      <w:bookmarkStart w:id="86" w:name="_Toc231118082"/>
      <w:bookmarkStart w:id="87" w:name="_Toc325224191"/>
      <w:r w:rsidRPr="003A1481">
        <w:lastRenderedPageBreak/>
        <w:t>4.3.  Li-iooni koordinatsioon anioonidega</w:t>
      </w:r>
      <w:bookmarkEnd w:id="86"/>
      <w:bookmarkEnd w:id="87"/>
    </w:p>
    <w:p w:rsidR="00A74929" w:rsidRDefault="00A74929" w:rsidP="00A74929">
      <w:r>
        <w:t>Li-ioonide liikuv</w:t>
      </w:r>
      <w:r w:rsidR="00FF76F2">
        <w:t>usel</w:t>
      </w:r>
      <w:r>
        <w:t xml:space="preserve"> elektrolüüdis omab olulist rolli nende vastasmõju anioonidega. Varasematest katse</w:t>
      </w:r>
      <w:r w:rsidR="001B47F5">
        <w:t>-</w:t>
      </w:r>
      <w:r>
        <w:t xml:space="preserve"> ja simulatsiooniandmetest on teada</w:t>
      </w:r>
      <w:r w:rsidR="008F76E5">
        <w:t xml:space="preserve">, et käsitletavatel süsteemidel on </w:t>
      </w:r>
      <w:r>
        <w:t>trend</w:t>
      </w:r>
      <w:r w:rsidR="008F76E5">
        <w:t xml:space="preserve"> ioonpaaride tekkeks </w:t>
      </w:r>
      <w:sdt>
        <w:sdtPr>
          <w:id w:val="328779"/>
          <w:citation/>
        </w:sdtPr>
        <w:sdtContent>
          <w:fldSimple w:instr=" CITATION AD \l 1061 ">
            <w:r w:rsidR="005B76C8">
              <w:rPr>
                <w:noProof/>
              </w:rPr>
              <w:t>[</w:t>
            </w:r>
            <w:hyperlink w:anchor="AD" w:history="1">
              <w:r w:rsidR="005B76C8" w:rsidRPr="005B76C8">
                <w:rPr>
                  <w:rStyle w:val="Heading2Char"/>
                  <w:rFonts w:eastAsiaTheme="minorHAnsi" w:cstheme="minorBidi"/>
                  <w:noProof/>
                  <w:sz w:val="24"/>
                  <w:szCs w:val="22"/>
                </w:rPr>
                <w:t>36</w:t>
              </w:r>
            </w:hyperlink>
            <w:r w:rsidR="005B76C8">
              <w:rPr>
                <w:noProof/>
              </w:rPr>
              <w:t>]</w:t>
            </w:r>
          </w:fldSimple>
        </w:sdtContent>
      </w:sdt>
      <w:r>
        <w:t>. Käesolevas töös uuritud s</w:t>
      </w:r>
      <w:r w:rsidR="008A471D">
        <w:t>üsteemide puhul pole soola suure</w:t>
      </w:r>
      <w:r>
        <w:t xml:space="preserve">mate agregaatide </w:t>
      </w:r>
      <w:r w:rsidR="000F7392">
        <w:t>moodustumine</w:t>
      </w:r>
      <w:r>
        <w:t xml:space="preserve"> probleemiks, sest Li-ioonide keskmine koordinatsiooniarv jääb 0,3 ja 0,8</w:t>
      </w:r>
      <w:r w:rsidRPr="005870EC">
        <w:rPr>
          <w:color w:val="FF0000"/>
        </w:rPr>
        <w:t xml:space="preserve"> </w:t>
      </w:r>
      <w:r>
        <w:t>vahele</w:t>
      </w:r>
      <w:r w:rsidR="00FF76F2">
        <w:t>,</w:t>
      </w:r>
      <w:r>
        <w:t xml:space="preserve"> sõltuvalt kõrvalahelate pikkusest (joonis 1</w:t>
      </w:r>
      <w:r w:rsidR="00045AE8">
        <w:t>2</w:t>
      </w:r>
      <w:r>
        <w:t>). See tähendab seda, et keskmiselt on iga liitium poole simulatsiooniajast  seotud elektrostaatika ja Van der Waalsi  tõttu</w:t>
      </w:r>
      <w:r w:rsidR="001B47F5">
        <w:t xml:space="preserve"> </w:t>
      </w:r>
      <w:r>
        <w:t xml:space="preserve">  püsivalt </w:t>
      </w:r>
      <w:r w:rsidR="001B47F5">
        <w:t xml:space="preserve">ühe </w:t>
      </w:r>
      <w:r>
        <w:t>aniooniga.</w:t>
      </w:r>
      <w:r w:rsidRPr="003974B1">
        <w:rPr>
          <w:rFonts w:cs="Times New Roman"/>
        </w:rPr>
        <w:t xml:space="preserve"> </w:t>
      </w:r>
      <w:r>
        <w:t>Li-iooni</w:t>
      </w:r>
      <w:r>
        <w:rPr>
          <w:vertAlign w:val="superscript"/>
        </w:rPr>
        <w:t xml:space="preserve"> </w:t>
      </w:r>
      <w:r>
        <w:rPr>
          <w:rFonts w:cs="Times New Roman"/>
        </w:rPr>
        <w:t>ja aniooni RDF-i piigi asukoha</w:t>
      </w:r>
      <w:r w:rsidR="001B47F5">
        <w:rPr>
          <w:rFonts w:cs="Times New Roman"/>
        </w:rPr>
        <w:t xml:space="preserve"> järgi on</w:t>
      </w:r>
      <w:r>
        <w:rPr>
          <w:rFonts w:cs="Times New Roman"/>
        </w:rPr>
        <w:t xml:space="preserve"> i</w:t>
      </w:r>
      <w:r>
        <w:t>oonidevaheli</w:t>
      </w:r>
      <w:r w:rsidR="007E3642">
        <w:t>ne keskmine k</w:t>
      </w:r>
      <w:r>
        <w:t>augus</w:t>
      </w:r>
      <w:r w:rsidR="007E3642">
        <w:t xml:space="preserve"> </w:t>
      </w:r>
      <w:r>
        <w:t xml:space="preserve">3.5 </w:t>
      </w:r>
      <w:r>
        <w:rPr>
          <w:rFonts w:cs="Times New Roman"/>
        </w:rPr>
        <w:t xml:space="preserve">Å. Antud tulemus </w:t>
      </w:r>
      <w:r w:rsidR="008A471D">
        <w:rPr>
          <w:rFonts w:cs="Times New Roman"/>
        </w:rPr>
        <w:t>sarnaneb</w:t>
      </w:r>
      <w:r w:rsidR="00177A80">
        <w:rPr>
          <w:rFonts w:cs="Times New Roman"/>
        </w:rPr>
        <w:t xml:space="preserve"> ka</w:t>
      </w:r>
      <w:r w:rsidR="008A471D">
        <w:rPr>
          <w:rFonts w:cs="Times New Roman"/>
        </w:rPr>
        <w:t xml:space="preserve"> </w:t>
      </w:r>
      <w:r>
        <w:t>Li-iooni</w:t>
      </w:r>
      <w:r>
        <w:rPr>
          <w:vertAlign w:val="superscript"/>
        </w:rPr>
        <w:t xml:space="preserve"> </w:t>
      </w:r>
      <w:r>
        <w:rPr>
          <w:rFonts w:cs="Times New Roman"/>
        </w:rPr>
        <w:t xml:space="preserve">ja aniooni kaugusega ristahelatega </w:t>
      </w:r>
      <w:r>
        <w:t>PEO</w:t>
      </w:r>
      <w:r>
        <w:rPr>
          <w:vertAlign w:val="subscript"/>
        </w:rPr>
        <w:t>30</w:t>
      </w:r>
      <w:r>
        <w:t>-LiPF</w:t>
      </w:r>
      <w:r>
        <w:rPr>
          <w:vertAlign w:val="subscript"/>
        </w:rPr>
        <w:t>6</w:t>
      </w:r>
      <w:r>
        <w:t xml:space="preserve"> süsteemis</w:t>
      </w:r>
      <w:r w:rsidR="008A471D">
        <w:t xml:space="preserve"> saadud tulemusega</w:t>
      </w:r>
      <w:r w:rsidRPr="004F2CC7">
        <w:t xml:space="preserve"> </w:t>
      </w:r>
      <w:sdt>
        <w:sdtPr>
          <w:id w:val="29187653"/>
          <w:citation/>
        </w:sdtPr>
        <w:sdtContent>
          <w:fldSimple w:instr=" CITATION AD \l 1061  ">
            <w:r w:rsidR="005B76C8">
              <w:rPr>
                <w:noProof/>
              </w:rPr>
              <w:t>[</w:t>
            </w:r>
            <w:hyperlink w:anchor="AD" w:history="1">
              <w:r w:rsidR="005B76C8" w:rsidRPr="005B76C8">
                <w:rPr>
                  <w:rStyle w:val="Heading2Char"/>
                  <w:rFonts w:eastAsiaTheme="minorHAnsi" w:cstheme="minorBidi"/>
                  <w:noProof/>
                  <w:sz w:val="24"/>
                  <w:szCs w:val="22"/>
                </w:rPr>
                <w:t>36</w:t>
              </w:r>
            </w:hyperlink>
            <w:r w:rsidR="005B76C8">
              <w:rPr>
                <w:noProof/>
              </w:rPr>
              <w:t>]</w:t>
            </w:r>
          </w:fldSimple>
        </w:sdtContent>
      </w:sdt>
      <w:r>
        <w:t>.</w:t>
      </w:r>
    </w:p>
    <w:p w:rsidR="0098584C" w:rsidRDefault="00B849F5" w:rsidP="0098584C">
      <w:pPr>
        <w:jc w:val="center"/>
        <w:rPr>
          <w:b/>
        </w:rPr>
      </w:pPr>
      <w:r>
        <w:rPr>
          <w:b/>
          <w:noProof/>
          <w:lang w:eastAsia="et-EE"/>
        </w:rPr>
        <w:drawing>
          <wp:inline distT="0" distB="0" distL="0" distR="0">
            <wp:extent cx="4785863" cy="3411311"/>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4785924" cy="3411355"/>
                    </a:xfrm>
                    <a:prstGeom prst="rect">
                      <a:avLst/>
                    </a:prstGeom>
                    <a:noFill/>
                    <a:ln w="9525">
                      <a:noFill/>
                      <a:miter lim="800000"/>
                      <a:headEnd/>
                      <a:tailEnd/>
                    </a:ln>
                  </pic:spPr>
                </pic:pic>
              </a:graphicData>
            </a:graphic>
          </wp:inline>
        </w:drawing>
      </w:r>
    </w:p>
    <w:p w:rsidR="00A74929" w:rsidRPr="006A3602" w:rsidRDefault="00A74929" w:rsidP="0098584C">
      <w:pPr>
        <w:jc w:val="center"/>
        <w:rPr>
          <w:b/>
        </w:rPr>
      </w:pPr>
      <w:r w:rsidRPr="000B41E1">
        <w:rPr>
          <w:b/>
        </w:rPr>
        <w:t>Joonis 1</w:t>
      </w:r>
      <w:r w:rsidR="00045AE8">
        <w:rPr>
          <w:b/>
        </w:rPr>
        <w:t>2</w:t>
      </w:r>
      <w:r w:rsidRPr="000B41E1">
        <w:rPr>
          <w:b/>
        </w:rPr>
        <w:t>:</w:t>
      </w:r>
      <w:r>
        <w:t xml:space="preserve"> Li-ioon</w:t>
      </w:r>
      <w:r w:rsidR="007E3642">
        <w:t>i</w:t>
      </w:r>
      <w:r>
        <w:t xml:space="preserve"> ja aniooni</w:t>
      </w:r>
      <w:r>
        <w:rPr>
          <w:vertAlign w:val="subscript"/>
        </w:rPr>
        <w:t xml:space="preserve"> </w:t>
      </w:r>
      <w:r>
        <w:t xml:space="preserve">radiaaljaotusfunktsioonid ning koordinatsiooniarvud. </w:t>
      </w:r>
    </w:p>
    <w:p w:rsidR="00A74929" w:rsidRDefault="00A74929" w:rsidP="00A74929">
      <w:r>
        <w:t>Detailsemaks analüüsiks koostati histogrammid süsteemide kaupa, mis näitavad Li-ioonide ja anioonide paardumiste osakaalu</w:t>
      </w:r>
      <w:r>
        <w:rPr>
          <w:vertAlign w:val="superscript"/>
        </w:rPr>
        <w:t xml:space="preserve"> </w:t>
      </w:r>
      <w:r>
        <w:t>(joonis</w:t>
      </w:r>
      <w:r w:rsidR="007E3642">
        <w:t xml:space="preserve"> </w:t>
      </w:r>
      <w:r>
        <w:t>1</w:t>
      </w:r>
      <w:r w:rsidR="00045AE8">
        <w:t>3</w:t>
      </w:r>
      <w:r>
        <w:t>a).  Jooniselt on selge näha, et pikemate kõrvalahelatega süsteemides on rohkem täielikult lahustunud soolasid ning lühemate kõrvalahelatega (4EO ja 6EO) süsteemides on paardunud ioonide  osakaal 50% ja suurem. See võib olla tingitud selles</w:t>
      </w:r>
      <w:r w:rsidR="00061F3A">
        <w:t>t</w:t>
      </w:r>
      <w:r>
        <w:t xml:space="preserve">, et </w:t>
      </w:r>
      <w:r w:rsidR="0098584C">
        <w:t>4</w:t>
      </w:r>
      <w:r w:rsidR="00C4744D">
        <w:t xml:space="preserve"> </w:t>
      </w:r>
      <w:r w:rsidR="0098584C">
        <w:t>EO ja 6</w:t>
      </w:r>
      <w:r w:rsidR="00C4744D">
        <w:t xml:space="preserve"> </w:t>
      </w:r>
      <w:r w:rsidR="0098584C">
        <w:t>EO ahelapikkuste korral on täielikuks Li-iooni koordineerimiseks vaja ka aniooni või</w:t>
      </w:r>
      <w:r w:rsidR="003737B8">
        <w:t xml:space="preserve"> </w:t>
      </w:r>
      <w:r w:rsidR="0098584C">
        <w:t>hapnike</w:t>
      </w:r>
      <w:r w:rsidR="003737B8">
        <w:t xml:space="preserve"> aatomeid</w:t>
      </w:r>
      <w:r w:rsidR="0098584C">
        <w:t xml:space="preserve"> naaber kõrvalahelatest.  </w:t>
      </w:r>
      <w:r w:rsidR="00CD66A0">
        <w:t>Seega</w:t>
      </w:r>
      <w:r w:rsidR="0098584C">
        <w:t xml:space="preserve"> lühikeste </w:t>
      </w:r>
      <w:r>
        <w:t>kõrvalahela</w:t>
      </w:r>
      <w:r w:rsidR="0098584C">
        <w:t xml:space="preserve">te korral </w:t>
      </w:r>
      <w:r w:rsidR="000B60B6">
        <w:t xml:space="preserve">on Li-ioonide liikumine pikki kõrvalahelaid vähe tõenäoline. Samuti  </w:t>
      </w:r>
      <w:r w:rsidR="00CD66A0">
        <w:t>on vä</w:t>
      </w:r>
      <w:r w:rsidR="000B60B6">
        <w:t>iksem võimalus ühtse</w:t>
      </w:r>
      <w:r w:rsidR="00CD66A0">
        <w:t xml:space="preserve">  PEO</w:t>
      </w:r>
      <w:r w:rsidR="000B60B6">
        <w:t xml:space="preserve"> ahelatest koosneva</w:t>
      </w:r>
      <w:r w:rsidR="00CD66A0">
        <w:t xml:space="preserve"> võrgustikku</w:t>
      </w:r>
      <w:r w:rsidR="000B60B6">
        <w:t xml:space="preserve"> tekkimiseks</w:t>
      </w:r>
      <w:r w:rsidR="00CD66A0">
        <w:t>.</w:t>
      </w:r>
      <w:r>
        <w:t xml:space="preserve"> </w:t>
      </w:r>
    </w:p>
    <w:p w:rsidR="00A74929" w:rsidRDefault="00A74929" w:rsidP="00A74929">
      <w:r w:rsidRPr="00A74929">
        <w:rPr>
          <w:noProof/>
          <w:color w:val="7F7F7F" w:themeColor="text1" w:themeTint="80"/>
          <w:lang w:eastAsia="et-EE"/>
        </w:rPr>
        <w:lastRenderedPageBreak/>
        <w:drawing>
          <wp:inline distT="0" distB="0" distL="0" distR="0">
            <wp:extent cx="5947576" cy="2568271"/>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4929" w:rsidRDefault="00A74929" w:rsidP="00A74929">
      <w:pPr>
        <w:jc w:val="center"/>
        <w:rPr>
          <w:b/>
        </w:rPr>
      </w:pPr>
      <w:r w:rsidRPr="00412CC8">
        <w:rPr>
          <w:noProof/>
          <w:color w:val="0D0D0D" w:themeColor="text1" w:themeTint="F2"/>
          <w:lang w:eastAsia="et-EE"/>
        </w:rPr>
        <w:drawing>
          <wp:inline distT="0" distB="0" distL="0" distR="0">
            <wp:extent cx="6480313" cy="2798859"/>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76F2" w:rsidRDefault="00A74929" w:rsidP="00A74929">
      <w:pPr>
        <w:spacing w:line="240" w:lineRule="auto"/>
      </w:pPr>
      <w:r w:rsidRPr="000B41E1">
        <w:rPr>
          <w:b/>
        </w:rPr>
        <w:t>Joonis 1</w:t>
      </w:r>
      <w:r w:rsidR="00045AE8">
        <w:rPr>
          <w:b/>
        </w:rPr>
        <w:t>3</w:t>
      </w:r>
      <w:r w:rsidRPr="000B41E1">
        <w:rPr>
          <w:b/>
        </w:rPr>
        <w:t>:</w:t>
      </w:r>
      <w:r>
        <w:t xml:space="preserve"> Paardunud või klasterdunud Li-ioonid ja anioonid (a), Li-ioone koordineerivate anioonide hul</w:t>
      </w:r>
      <w:r w:rsidR="00B61D2E">
        <w:t>k (b)</w:t>
      </w:r>
    </w:p>
    <w:p w:rsidR="00A74929" w:rsidRDefault="00A74929" w:rsidP="00A74929">
      <w:r>
        <w:t>Üsna keeruline on leida trende katioon</w:t>
      </w:r>
      <w:r w:rsidR="001D746C">
        <w:t>i</w:t>
      </w:r>
      <w:r>
        <w:t xml:space="preserve"> – anioon</w:t>
      </w:r>
      <w:r w:rsidR="001D746C">
        <w:t>i</w:t>
      </w:r>
      <w:r>
        <w:t xml:space="preserve"> paardumiste arvudes süsteemide kaupa (joonisel 1</w:t>
      </w:r>
      <w:r w:rsidR="00045AE8">
        <w:t>3</w:t>
      </w:r>
      <w:r>
        <w:t xml:space="preserve"> b)</w:t>
      </w:r>
      <w:r w:rsidR="00FF76F2">
        <w:t>.</w:t>
      </w:r>
      <w:r>
        <w:t xml:space="preserve"> </w:t>
      </w:r>
      <w:r w:rsidR="00FF76F2">
        <w:t>S</w:t>
      </w:r>
      <w:r>
        <w:t>iiski kerge tendents on numbriliselt väiksemate koordinatsioon</w:t>
      </w:r>
      <w:r w:rsidR="00C4744D">
        <w:t>ide korral, kui välja arvata 10</w:t>
      </w:r>
      <w:r>
        <w:t>EO ja 12EO süsteemid. Kolme ja enam</w:t>
      </w:r>
      <w:r w:rsidR="001D746C">
        <w:t>a</w:t>
      </w:r>
      <w:r>
        <w:t xml:space="preserve"> aniooniga seotud Li-ioonide komplekse esine</w:t>
      </w:r>
      <w:r w:rsidR="001D746C">
        <w:t>b</w:t>
      </w:r>
      <w:r>
        <w:t xml:space="preserve"> kõigis süsteemides harva, valdav on koordinatsioon ühe aniooniga (joonis 1</w:t>
      </w:r>
      <w:r w:rsidR="00045AE8">
        <w:t>4</w:t>
      </w:r>
      <w:r>
        <w:t>)</w:t>
      </w:r>
      <w:r w:rsidR="001D746C">
        <w:t>, m</w:t>
      </w:r>
      <w:r>
        <w:t xml:space="preserve">ida on ka täheldatud eksperimentaalsetes katsetustes </w:t>
      </w:r>
      <w:sdt>
        <w:sdtPr>
          <w:id w:val="336915"/>
          <w:citation/>
        </w:sdtPr>
        <w:sdtContent>
          <w:fldSimple w:instr=" CITATION Fög09 \l 1061 ">
            <w:r w:rsidR="005B76C8">
              <w:rPr>
                <w:noProof/>
              </w:rPr>
              <w:t>[</w:t>
            </w:r>
            <w:hyperlink w:anchor="Fög09" w:history="1">
              <w:r w:rsidR="005B76C8" w:rsidRPr="005B76C8">
                <w:rPr>
                  <w:rStyle w:val="Heading2Char"/>
                  <w:rFonts w:eastAsiaTheme="minorHAnsi" w:cstheme="minorBidi"/>
                  <w:noProof/>
                  <w:sz w:val="24"/>
                  <w:szCs w:val="22"/>
                </w:rPr>
                <w:t>54</w:t>
              </w:r>
            </w:hyperlink>
            <w:r w:rsidR="005B76C8">
              <w:rPr>
                <w:noProof/>
              </w:rPr>
              <w:t>]</w:t>
            </w:r>
          </w:fldSimple>
        </w:sdtContent>
      </w:sdt>
      <w:r>
        <w:t>. Kõige pikemate kõrvalahelatega süsteem eristub teistest madala</w:t>
      </w:r>
      <w:r w:rsidR="001D746C">
        <w:t>ma</w:t>
      </w:r>
      <w:r>
        <w:t xml:space="preserve"> ioonide paardumise, kuid suurema klasterdumise poolest. Simulatsioonibokside lähemal vaatlusel </w:t>
      </w:r>
      <w:r w:rsidR="00C42F89">
        <w:t>selgub</w:t>
      </w:r>
      <w:r>
        <w:t>, et ioonide klastrid sisaldavad tüüpiliselt 2 Li-iooni ja 2-3 PF</w:t>
      </w:r>
      <w:r>
        <w:rPr>
          <w:vertAlign w:val="superscript"/>
        </w:rPr>
        <w:t>-</w:t>
      </w:r>
      <w:r>
        <w:rPr>
          <w:vertAlign w:val="subscript"/>
        </w:rPr>
        <w:t>6</w:t>
      </w:r>
      <w:r>
        <w:t xml:space="preserve"> aniooni. Üldiselt anioonide veidike suuremat osalust klastrites näitab ka joonisel 1</w:t>
      </w:r>
      <w:r w:rsidR="00045AE8">
        <w:t>3</w:t>
      </w:r>
      <w:r>
        <w:t xml:space="preserve"> (a) ioonpaari osakaalude erinevus mõnede süsteemide puhul.</w:t>
      </w:r>
      <w:bookmarkStart w:id="88" w:name="_Toc231118083"/>
    </w:p>
    <w:p w:rsidR="00A74929" w:rsidRDefault="00A74929" w:rsidP="00A74929">
      <w:pPr>
        <w:jc w:val="center"/>
        <w:rPr>
          <w:rFonts w:cs="Times New Roman"/>
        </w:rPr>
      </w:pPr>
      <w:r>
        <w:rPr>
          <w:rFonts w:cs="Times New Roman"/>
          <w:noProof/>
          <w:lang w:eastAsia="et-EE"/>
        </w:rPr>
        <w:lastRenderedPageBreak/>
        <w:drawing>
          <wp:inline distT="0" distB="0" distL="0" distR="0">
            <wp:extent cx="2542995" cy="3001777"/>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548119" cy="3007826"/>
                    </a:xfrm>
                    <a:prstGeom prst="rect">
                      <a:avLst/>
                    </a:prstGeom>
                    <a:noFill/>
                    <a:ln w="9525">
                      <a:noFill/>
                      <a:miter lim="800000"/>
                      <a:headEnd/>
                      <a:tailEnd/>
                    </a:ln>
                  </pic:spPr>
                </pic:pic>
              </a:graphicData>
            </a:graphic>
          </wp:inline>
        </w:drawing>
      </w:r>
      <w:r w:rsidRPr="00FD22F0">
        <w:rPr>
          <w:rFonts w:cs="Times New Roman"/>
          <w:noProof/>
          <w:lang w:eastAsia="et-EE"/>
        </w:rPr>
        <w:drawing>
          <wp:inline distT="0" distB="0" distL="0" distR="0">
            <wp:extent cx="379313" cy="1208598"/>
            <wp:effectExtent l="19050" t="0" r="1687"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9661" cy="1209708"/>
                    </a:xfrm>
                    <a:prstGeom prst="rect">
                      <a:avLst/>
                    </a:prstGeom>
                    <a:noFill/>
                    <a:ln w="9525">
                      <a:noFill/>
                      <a:miter lim="800000"/>
                      <a:headEnd/>
                      <a:tailEnd/>
                    </a:ln>
                  </pic:spPr>
                </pic:pic>
              </a:graphicData>
            </a:graphic>
          </wp:inline>
        </w:drawing>
      </w:r>
    </w:p>
    <w:p w:rsidR="00A74929" w:rsidRDefault="00A74929" w:rsidP="00A93584">
      <w:r w:rsidRPr="00D17A3F">
        <w:rPr>
          <w:b/>
        </w:rPr>
        <w:t>Joonis 1</w:t>
      </w:r>
      <w:r w:rsidR="00045AE8">
        <w:rPr>
          <w:b/>
        </w:rPr>
        <w:t>4</w:t>
      </w:r>
      <w:r w:rsidRPr="00D17A3F">
        <w:rPr>
          <w:b/>
        </w:rPr>
        <w:t>:</w:t>
      </w:r>
      <w:r w:rsidRPr="00D17A3F">
        <w:t xml:space="preserve"> Tüüpiline ühe</w:t>
      </w:r>
      <w:r w:rsidRPr="00D17A3F">
        <w:rPr>
          <w:color w:val="FF0000"/>
        </w:rPr>
        <w:t xml:space="preserve"> </w:t>
      </w:r>
      <w:r w:rsidRPr="00047B8A">
        <w:t>aniooni ja 5 O</w:t>
      </w:r>
      <w:r w:rsidRPr="00047B8A">
        <w:rPr>
          <w:vertAlign w:val="subscript"/>
        </w:rPr>
        <w:t>PEO</w:t>
      </w:r>
      <w:r w:rsidRPr="00D17A3F">
        <w:rPr>
          <w:color w:val="FF0000"/>
        </w:rPr>
        <w:t xml:space="preserve"> </w:t>
      </w:r>
      <w:r w:rsidRPr="00D17A3F">
        <w:t>poolt koordineeritud Li-iooni</w:t>
      </w:r>
      <w:r>
        <w:t>.</w:t>
      </w:r>
    </w:p>
    <w:p w:rsidR="00AF1811" w:rsidRPr="00D17A3F" w:rsidRDefault="00AF1811" w:rsidP="00A93584"/>
    <w:p w:rsidR="00A74929" w:rsidRDefault="00A74929" w:rsidP="00AF1811">
      <w:pPr>
        <w:pStyle w:val="Heading2"/>
      </w:pPr>
      <w:bookmarkStart w:id="89" w:name="_Toc325224192"/>
      <w:r>
        <w:t>4.5.  Li-iooni koordinatsioon kõrvalahela hapnikutega</w:t>
      </w:r>
      <w:bookmarkEnd w:id="88"/>
      <w:bookmarkEnd w:id="89"/>
    </w:p>
    <w:p w:rsidR="00A74929" w:rsidRDefault="00A74929" w:rsidP="00A74929">
      <w:r>
        <w:t>Li-ioonide liikumine PEO-d sisaldavas süsteemis toimub, kas pikki PEO ahelat või väljaspool seda paaris või klastris koos aniooni(de)ga</w:t>
      </w:r>
      <w:r w:rsidR="004F5FD7">
        <w:t xml:space="preserve"> </w:t>
      </w:r>
      <w:sdt>
        <w:sdtPr>
          <w:id w:val="93607313"/>
          <w:citation/>
        </w:sdtPr>
        <w:sdtContent>
          <w:fldSimple w:instr=" CITATION T \l 1061  ">
            <w:r w:rsidR="005B76C8">
              <w:rPr>
                <w:noProof/>
              </w:rPr>
              <w:t>[</w:t>
            </w:r>
            <w:hyperlink w:anchor="T" w:history="1">
              <w:r w:rsidR="005B76C8" w:rsidRPr="005B76C8">
                <w:rPr>
                  <w:rStyle w:val="Heading2Char"/>
                  <w:rFonts w:eastAsiaTheme="minorHAnsi" w:cstheme="minorBidi"/>
                  <w:noProof/>
                  <w:sz w:val="24"/>
                  <w:szCs w:val="22"/>
                </w:rPr>
                <w:t>15</w:t>
              </w:r>
            </w:hyperlink>
            <w:r w:rsidR="005B76C8">
              <w:rPr>
                <w:noProof/>
              </w:rPr>
              <w:t>]</w:t>
            </w:r>
          </w:fldSimple>
        </w:sdtContent>
      </w:sdt>
      <w:r>
        <w:t>. Sestap on huvitav heita pilk peale Li-ioonide ja kõrvalahelate interaktsioonile.</w:t>
      </w:r>
      <w:r w:rsidRPr="006A3602">
        <w:t xml:space="preserve"> </w:t>
      </w:r>
    </w:p>
    <w:p w:rsidR="00847485" w:rsidRDefault="00847485" w:rsidP="00847485">
      <w:pPr>
        <w:spacing w:line="276" w:lineRule="auto"/>
        <w:jc w:val="center"/>
        <w:rPr>
          <w:b/>
        </w:rPr>
      </w:pPr>
      <w:r>
        <w:rPr>
          <w:b/>
          <w:noProof/>
          <w:lang w:eastAsia="et-EE"/>
        </w:rPr>
        <w:drawing>
          <wp:inline distT="0" distB="0" distL="0" distR="0">
            <wp:extent cx="4552950" cy="320684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4560370" cy="3212068"/>
                    </a:xfrm>
                    <a:prstGeom prst="rect">
                      <a:avLst/>
                    </a:prstGeom>
                    <a:noFill/>
                    <a:ln w="9525">
                      <a:noFill/>
                      <a:miter lim="800000"/>
                      <a:headEnd/>
                      <a:tailEnd/>
                    </a:ln>
                  </pic:spPr>
                </pic:pic>
              </a:graphicData>
            </a:graphic>
          </wp:inline>
        </w:drawing>
      </w:r>
    </w:p>
    <w:p w:rsidR="00A74929" w:rsidRPr="00170169" w:rsidRDefault="00A74929" w:rsidP="00847485">
      <w:pPr>
        <w:spacing w:line="276" w:lineRule="auto"/>
      </w:pPr>
      <w:r>
        <w:rPr>
          <w:b/>
        </w:rPr>
        <w:t>J</w:t>
      </w:r>
      <w:r w:rsidRPr="000B41E1">
        <w:rPr>
          <w:b/>
        </w:rPr>
        <w:t>oonis 1</w:t>
      </w:r>
      <w:r w:rsidR="00045AE8">
        <w:rPr>
          <w:b/>
        </w:rPr>
        <w:t>5</w:t>
      </w:r>
      <w:r w:rsidRPr="000B41E1">
        <w:rPr>
          <w:b/>
        </w:rPr>
        <w:t>:</w:t>
      </w:r>
      <w:r>
        <w:t xml:space="preserve"> Li-iooni ja O</w:t>
      </w:r>
      <w:r>
        <w:rPr>
          <w:vertAlign w:val="subscript"/>
        </w:rPr>
        <w:t>PEO</w:t>
      </w:r>
      <w:r>
        <w:t xml:space="preserve"> radiaaljaotusfunktsioonid ning koordinatsiooniarvud.</w:t>
      </w:r>
    </w:p>
    <w:p w:rsidR="00A74929" w:rsidRDefault="00A74929" w:rsidP="00A74929">
      <w:r>
        <w:lastRenderedPageBreak/>
        <w:t>Li-iooni ja kõrvalahela hapniku</w:t>
      </w:r>
      <w:r w:rsidR="003737B8">
        <w:t xml:space="preserve"> aatomi</w:t>
      </w:r>
      <w:r>
        <w:t xml:space="preserve"> radiaaljaotusfunktsioon</w:t>
      </w:r>
      <w:r w:rsidR="001D746C">
        <w:t xml:space="preserve"> (joonis 1</w:t>
      </w:r>
      <w:r w:rsidR="00045AE8">
        <w:t>5</w:t>
      </w:r>
      <w:r w:rsidR="001D746C">
        <w:t>)</w:t>
      </w:r>
      <w:r>
        <w:t xml:space="preserve"> annab nendevaheliseks keskmiseks kauguseks 1.9 </w:t>
      </w:r>
      <w:r>
        <w:rPr>
          <w:rFonts w:cs="Times New Roman"/>
        </w:rPr>
        <w:t xml:space="preserve">Å, mis on suhteliselt kooskõlas neutrondifraktsioonimõõtmistest saadud kaugusega 1.95 Å </w:t>
      </w:r>
      <w:sdt>
        <w:sdtPr>
          <w:rPr>
            <w:rFonts w:cs="Times New Roman"/>
          </w:rPr>
          <w:id w:val="336916"/>
          <w:citation/>
        </w:sdtPr>
        <w:sdtContent>
          <w:r w:rsidR="00B23348">
            <w:rPr>
              <w:rFonts w:cs="Times New Roman"/>
            </w:rPr>
            <w:fldChar w:fldCharType="begin"/>
          </w:r>
          <w:r w:rsidR="00630603">
            <w:rPr>
              <w:rFonts w:cs="Times New Roman"/>
            </w:rPr>
            <w:instrText xml:space="preserve"> CITATION AD \l 1061 </w:instrText>
          </w:r>
          <w:r w:rsidR="00B23348">
            <w:rPr>
              <w:rFonts w:cs="Times New Roman"/>
            </w:rPr>
            <w:fldChar w:fldCharType="separate"/>
          </w:r>
          <w:r w:rsidR="005B76C8" w:rsidRPr="005B76C8">
            <w:rPr>
              <w:rFonts w:cs="Times New Roman"/>
              <w:noProof/>
            </w:rPr>
            <w:t>[</w:t>
          </w:r>
          <w:hyperlink w:anchor="AD" w:history="1">
            <w:r w:rsidR="005B76C8" w:rsidRPr="005B76C8">
              <w:rPr>
                <w:rStyle w:val="Heading2Char"/>
                <w:rFonts w:eastAsiaTheme="minorHAnsi" w:cs="Times New Roman"/>
                <w:noProof/>
                <w:sz w:val="24"/>
                <w:szCs w:val="22"/>
              </w:rPr>
              <w:t>36</w:t>
            </w:r>
          </w:hyperlink>
          <w:r w:rsidR="005B76C8" w:rsidRPr="005B76C8">
            <w:rPr>
              <w:rFonts w:cs="Times New Roman"/>
              <w:noProof/>
            </w:rPr>
            <w:t>]</w:t>
          </w:r>
          <w:r w:rsidR="00B23348">
            <w:rPr>
              <w:rFonts w:cs="Times New Roman"/>
            </w:rPr>
            <w:fldChar w:fldCharType="end"/>
          </w:r>
        </w:sdtContent>
      </w:sdt>
      <w:r>
        <w:rPr>
          <w:rFonts w:cs="Times New Roman"/>
        </w:rPr>
        <w:t>. Koordinatsiooniarv on simuleeritud süsteemide korral vahemikus 5.0…6.2. Selline murdarvuline koordinatsiooniarv tähendab, et enamus katioone on koordineeritud üldjuhul kas 5 või 6 ahelahapnikuga.</w:t>
      </w:r>
      <w:r w:rsidR="00BC2B9C">
        <w:rPr>
          <w:rFonts w:cs="Times New Roman"/>
        </w:rPr>
        <w:t xml:space="preserve"> Sellist tulemust on näidanud mitmed uurimustööd </w:t>
      </w:r>
      <w:sdt>
        <w:sdtPr>
          <w:rPr>
            <w:rFonts w:cs="Times New Roman"/>
          </w:rPr>
          <w:id w:val="93617308"/>
          <w:citation/>
        </w:sdtPr>
        <w:sdtContent>
          <w:r w:rsidR="00B23348">
            <w:rPr>
              <w:rFonts w:cs="Times New Roman"/>
            </w:rPr>
            <w:fldChar w:fldCharType="begin"/>
          </w:r>
          <w:r w:rsidR="00B75B3F">
            <w:rPr>
              <w:rFonts w:cs="Times New Roman"/>
            </w:rPr>
            <w:instrText xml:space="preserve"> CITATION T \m b \l 1061  </w:instrText>
          </w:r>
          <w:r w:rsidR="00B23348">
            <w:rPr>
              <w:rFonts w:cs="Times New Roman"/>
            </w:rPr>
            <w:fldChar w:fldCharType="separate"/>
          </w:r>
          <w:r w:rsidR="005B76C8" w:rsidRPr="005B76C8">
            <w:rPr>
              <w:rFonts w:cs="Times New Roman"/>
              <w:noProof/>
            </w:rPr>
            <w:t>[</w:t>
          </w:r>
          <w:hyperlink w:anchor="T" w:history="1">
            <w:r w:rsidR="005B76C8" w:rsidRPr="005B76C8">
              <w:rPr>
                <w:rStyle w:val="Heading2Char"/>
                <w:rFonts w:eastAsiaTheme="minorHAnsi" w:cs="Times New Roman"/>
                <w:noProof/>
                <w:sz w:val="24"/>
                <w:szCs w:val="22"/>
              </w:rPr>
              <w:t>15</w:t>
            </w:r>
          </w:hyperlink>
          <w:r w:rsidR="005B76C8" w:rsidRPr="005B76C8">
            <w:rPr>
              <w:rFonts w:cs="Times New Roman"/>
              <w:noProof/>
            </w:rPr>
            <w:t>,</w:t>
          </w:r>
          <w:hyperlink w:anchor="b" w:history="1">
            <w:r w:rsidR="005B76C8" w:rsidRPr="005B76C8">
              <w:rPr>
                <w:rStyle w:val="Heading2Char"/>
                <w:rFonts w:eastAsiaTheme="minorHAnsi" w:cs="Times New Roman"/>
                <w:noProof/>
                <w:sz w:val="24"/>
                <w:szCs w:val="22"/>
              </w:rPr>
              <w:t>38</w:t>
            </w:r>
          </w:hyperlink>
          <w:r w:rsidR="005B76C8" w:rsidRPr="005B76C8">
            <w:rPr>
              <w:rFonts w:cs="Times New Roman"/>
              <w:noProof/>
            </w:rPr>
            <w:t>]</w:t>
          </w:r>
          <w:r w:rsidR="00B23348">
            <w:rPr>
              <w:rFonts w:cs="Times New Roman"/>
            </w:rPr>
            <w:fldChar w:fldCharType="end"/>
          </w:r>
        </w:sdtContent>
      </w:sdt>
      <w:r w:rsidR="00BC2B9C">
        <w:rPr>
          <w:rFonts w:cs="Times New Roman"/>
        </w:rPr>
        <w:t>.</w:t>
      </w:r>
    </w:p>
    <w:p w:rsidR="00A74929" w:rsidRDefault="00A74929" w:rsidP="00A74929">
      <w:pPr>
        <w:rPr>
          <w:rFonts w:cs="Times New Roman"/>
        </w:rPr>
      </w:pPr>
      <w:r>
        <w:rPr>
          <w:rFonts w:cs="Times New Roman"/>
        </w:rPr>
        <w:t>Li-ioonide ja ahelahapnike koordinatsiooni iseloomustab detailsema</w:t>
      </w:r>
      <w:r w:rsidR="00FF76F2">
        <w:rPr>
          <w:rFonts w:cs="Times New Roman"/>
        </w:rPr>
        <w:t>l</w:t>
      </w:r>
      <w:r w:rsidR="00C42F89">
        <w:rPr>
          <w:rFonts w:cs="Times New Roman"/>
        </w:rPr>
        <w:t xml:space="preserve">t </w:t>
      </w:r>
      <w:r>
        <w:rPr>
          <w:rFonts w:cs="Times New Roman"/>
        </w:rPr>
        <w:t>joonis 15, kus on protsentuaalselt välja toodud Li-ioonidega</w:t>
      </w:r>
      <w:r w:rsidR="00FF76F2">
        <w:rPr>
          <w:rFonts w:cs="Times New Roman"/>
        </w:rPr>
        <w:t xml:space="preserve"> interaktsioonis olevad kõrvalahelad</w:t>
      </w:r>
      <w:r>
        <w:rPr>
          <w:rFonts w:cs="Times New Roman"/>
        </w:rPr>
        <w:t>. Selgelt</w:t>
      </w:r>
      <w:r w:rsidR="00FF76F2">
        <w:rPr>
          <w:rFonts w:cs="Times New Roman"/>
        </w:rPr>
        <w:t xml:space="preserve"> võib</w:t>
      </w:r>
      <w:r>
        <w:rPr>
          <w:rFonts w:cs="Times New Roman"/>
        </w:rPr>
        <w:t xml:space="preserve"> nä</w:t>
      </w:r>
      <w:r w:rsidR="00FF76F2">
        <w:rPr>
          <w:rFonts w:cs="Times New Roman"/>
        </w:rPr>
        <w:t>ha</w:t>
      </w:r>
      <w:r>
        <w:rPr>
          <w:rFonts w:cs="Times New Roman"/>
        </w:rPr>
        <w:t xml:space="preserve">, et katioonide hulk, mis on seotud ühe ahelahapnikutega, kasvab kõigis süsteemides järk-järgult kuni 10EO </w:t>
      </w:r>
      <w:r w:rsidR="00C42F89">
        <w:rPr>
          <w:rFonts w:cs="Times New Roman"/>
        </w:rPr>
        <w:t>süsteemini</w:t>
      </w:r>
      <w:r>
        <w:rPr>
          <w:rFonts w:cs="Times New Roman"/>
        </w:rPr>
        <w:t>, peale mida see langeb. Samal ajal Li-ioonide hulk</w:t>
      </w:r>
      <w:r w:rsidR="001D746C">
        <w:rPr>
          <w:rFonts w:cs="Times New Roman"/>
        </w:rPr>
        <w:t>,</w:t>
      </w:r>
      <w:r>
        <w:rPr>
          <w:rFonts w:cs="Times New Roman"/>
        </w:rPr>
        <w:t xml:space="preserve"> mis on seotud lisaks naaberkõrvalahelatega</w:t>
      </w:r>
      <w:r w:rsidR="001D746C">
        <w:rPr>
          <w:rFonts w:cs="Times New Roman"/>
        </w:rPr>
        <w:t>, väheneb 4</w:t>
      </w:r>
      <w:r>
        <w:rPr>
          <w:rFonts w:cs="Times New Roman"/>
        </w:rPr>
        <w:t>EO</w:t>
      </w:r>
      <w:r w:rsidR="00C42F89">
        <w:rPr>
          <w:rFonts w:cs="Times New Roman"/>
        </w:rPr>
        <w:t xml:space="preserve"> </w:t>
      </w:r>
      <w:r>
        <w:rPr>
          <w:rFonts w:cs="Times New Roman"/>
        </w:rPr>
        <w:t>süsteemist üle 6EO ja 8EO kuni 10EO</w:t>
      </w:r>
      <w:r w:rsidR="00C42F89">
        <w:rPr>
          <w:rFonts w:cs="Times New Roman"/>
        </w:rPr>
        <w:t xml:space="preserve"> </w:t>
      </w:r>
      <w:r>
        <w:rPr>
          <w:rFonts w:cs="Times New Roman"/>
        </w:rPr>
        <w:t>süsteemini ning see</w:t>
      </w:r>
      <w:r w:rsidR="001D746C">
        <w:rPr>
          <w:rFonts w:cs="Times New Roman"/>
        </w:rPr>
        <w:t>järel hakkab taas suurenema. See tähendab</w:t>
      </w:r>
      <w:r>
        <w:rPr>
          <w:rFonts w:cs="Times New Roman"/>
        </w:rPr>
        <w:t xml:space="preserve">, et lühikeste kõrvalahelate korral peab katiooni täielikuks koordineerimiseks lisaks ühele ahelale  olema kaasatud ka anioon, naaberkõrvalahelad või teised kaugemal asuvad kõrvalahelad. </w:t>
      </w:r>
    </w:p>
    <w:p w:rsidR="00A74929" w:rsidRDefault="00A74929" w:rsidP="00A74929">
      <w:pPr>
        <w:rPr>
          <w:rFonts w:cs="Times New Roman"/>
        </w:rPr>
      </w:pPr>
      <w:r w:rsidRPr="00FA3D01">
        <w:rPr>
          <w:rFonts w:cs="Times New Roman"/>
          <w:noProof/>
          <w:lang w:eastAsia="et-EE"/>
        </w:rPr>
        <w:drawing>
          <wp:inline distT="0" distB="0" distL="0" distR="0">
            <wp:extent cx="5943600" cy="3131389"/>
            <wp:effectExtent l="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cs="Times New Roman"/>
        </w:rPr>
        <w:t xml:space="preserve"> </w:t>
      </w:r>
      <w:r w:rsidRPr="000B41E1">
        <w:rPr>
          <w:b/>
        </w:rPr>
        <w:t>Joonis 1</w:t>
      </w:r>
      <w:r w:rsidR="00045AE8">
        <w:rPr>
          <w:b/>
        </w:rPr>
        <w:t>6</w:t>
      </w:r>
      <w:r w:rsidRPr="000B41E1">
        <w:rPr>
          <w:b/>
        </w:rPr>
        <w:t>:</w:t>
      </w:r>
      <w:r>
        <w:t xml:space="preserve"> Li-ioonide koordinatsioon kõrvalahelatega.</w:t>
      </w:r>
    </w:p>
    <w:p w:rsidR="00A74929" w:rsidRDefault="00A74929" w:rsidP="00A74929">
      <w:pPr>
        <w:rPr>
          <w:rFonts w:cs="Times New Roman"/>
        </w:rPr>
      </w:pPr>
      <w:r>
        <w:rPr>
          <w:rFonts w:cs="Times New Roman"/>
        </w:rPr>
        <w:t>Pikemate kõrvalahelate</w:t>
      </w:r>
      <w:r w:rsidR="00C42F89">
        <w:rPr>
          <w:rFonts w:cs="Times New Roman"/>
        </w:rPr>
        <w:t>ga</w:t>
      </w:r>
      <w:r>
        <w:rPr>
          <w:rFonts w:cs="Times New Roman"/>
        </w:rPr>
        <w:t xml:space="preserve"> 10EO, 12EO ja 15EO puhul on PEO </w:t>
      </w:r>
      <w:r w:rsidR="001D746C">
        <w:rPr>
          <w:rFonts w:cs="Times New Roman"/>
        </w:rPr>
        <w:t>maatriksi</w:t>
      </w:r>
      <w:r>
        <w:rPr>
          <w:rFonts w:cs="Times New Roman"/>
        </w:rPr>
        <w:t xml:space="preserve"> tekkimise tõenäosus suurem, seega suureneb ka võimalus</w:t>
      </w:r>
      <w:r w:rsidR="000402BB">
        <w:rPr>
          <w:rFonts w:cs="Times New Roman"/>
        </w:rPr>
        <w:t>, et</w:t>
      </w:r>
      <w:r>
        <w:rPr>
          <w:rFonts w:cs="Times New Roman"/>
        </w:rPr>
        <w:t xml:space="preserve"> Li-ioonid koordi</w:t>
      </w:r>
      <w:r w:rsidR="000402BB">
        <w:rPr>
          <w:rFonts w:cs="Times New Roman"/>
        </w:rPr>
        <w:t xml:space="preserve">neeruvad </w:t>
      </w:r>
      <w:r>
        <w:rPr>
          <w:rFonts w:cs="Times New Roman"/>
        </w:rPr>
        <w:t xml:space="preserve"> erinevate kõrvalahelatega. Kõrvalahelate kasvades tekkinud kaks trendi – suurenev tõenäosus täielikuks  L</w:t>
      </w:r>
      <w:r w:rsidR="003737B8">
        <w:rPr>
          <w:rFonts w:cs="Times New Roman"/>
        </w:rPr>
        <w:t>i-iooni koordineerumiseks ahela</w:t>
      </w:r>
      <w:r>
        <w:rPr>
          <w:rFonts w:cs="Times New Roman"/>
        </w:rPr>
        <w:t xml:space="preserve">hapnike poolt ja suurenev PEO </w:t>
      </w:r>
      <w:r w:rsidR="001D746C">
        <w:rPr>
          <w:rFonts w:cs="Times New Roman"/>
        </w:rPr>
        <w:t>maatriksi</w:t>
      </w:r>
      <w:r>
        <w:rPr>
          <w:rFonts w:cs="Times New Roman"/>
        </w:rPr>
        <w:t xml:space="preserve"> tekkimise võimalus</w:t>
      </w:r>
      <w:r w:rsidR="00C42F89">
        <w:rPr>
          <w:rFonts w:cs="Times New Roman"/>
        </w:rPr>
        <w:t xml:space="preserve"> -</w:t>
      </w:r>
      <w:r>
        <w:rPr>
          <w:rFonts w:cs="Times New Roman"/>
        </w:rPr>
        <w:t xml:space="preserve"> seletavadki sarnasuse 8EO ja 15EO</w:t>
      </w:r>
      <w:r w:rsidR="001D746C">
        <w:rPr>
          <w:rFonts w:cs="Times New Roman"/>
        </w:rPr>
        <w:t>-</w:t>
      </w:r>
      <w:r>
        <w:rPr>
          <w:rFonts w:cs="Times New Roman"/>
        </w:rPr>
        <w:t>süsteemide vahel</w:t>
      </w:r>
      <w:r w:rsidR="00C42F89">
        <w:rPr>
          <w:rFonts w:cs="Times New Roman"/>
        </w:rPr>
        <w:t xml:space="preserve"> (joonis 1</w:t>
      </w:r>
      <w:r w:rsidR="00045AE8">
        <w:rPr>
          <w:rFonts w:cs="Times New Roman"/>
        </w:rPr>
        <w:t>6</w:t>
      </w:r>
      <w:r w:rsidR="00C42F89">
        <w:rPr>
          <w:rFonts w:cs="Times New Roman"/>
        </w:rPr>
        <w:t>)</w:t>
      </w:r>
      <w:r>
        <w:rPr>
          <w:rFonts w:cs="Times New Roman"/>
        </w:rPr>
        <w:t xml:space="preserve">. </w:t>
      </w:r>
    </w:p>
    <w:p w:rsidR="00A74929" w:rsidRDefault="00A74929" w:rsidP="00A74929">
      <w:pPr>
        <w:rPr>
          <w:rFonts w:cs="Times New Roman"/>
        </w:rPr>
      </w:pPr>
      <w:r>
        <w:rPr>
          <w:rFonts w:cs="Times New Roman"/>
        </w:rPr>
        <w:lastRenderedPageBreak/>
        <w:t>Katioonide täielik koordinatsioonisfäär on süsteemide</w:t>
      </w:r>
      <w:r w:rsidR="00444FB0">
        <w:rPr>
          <w:rFonts w:cs="Times New Roman"/>
        </w:rPr>
        <w:t xml:space="preserve"> kaupa summeritud </w:t>
      </w:r>
      <w:r w:rsidR="0091195F">
        <w:rPr>
          <w:rFonts w:cs="Times New Roman"/>
        </w:rPr>
        <w:t>joonisel 1</w:t>
      </w:r>
      <w:r w:rsidR="00045AE8">
        <w:rPr>
          <w:rFonts w:cs="Times New Roman"/>
        </w:rPr>
        <w:t>7</w:t>
      </w:r>
      <w:r w:rsidR="0091195F">
        <w:rPr>
          <w:rFonts w:cs="Times New Roman"/>
        </w:rPr>
        <w:t>.</w:t>
      </w:r>
      <w:r>
        <w:rPr>
          <w:rFonts w:cs="Times New Roman"/>
        </w:rPr>
        <w:t xml:space="preserve"> </w:t>
      </w:r>
      <w:r w:rsidR="0091195F">
        <w:rPr>
          <w:rFonts w:cs="Times New Roman"/>
        </w:rPr>
        <w:t>Selle</w:t>
      </w:r>
      <w:r>
        <w:rPr>
          <w:rFonts w:cs="Times New Roman"/>
        </w:rPr>
        <w:t xml:space="preserve"> moodustavad katioonidest kuni 4,5 Å kaugusel olevad PF</w:t>
      </w:r>
      <w:r>
        <w:rPr>
          <w:rFonts w:cs="Times New Roman"/>
          <w:vertAlign w:val="superscript"/>
        </w:rPr>
        <w:t>-</w:t>
      </w:r>
      <w:r>
        <w:rPr>
          <w:rFonts w:cs="Times New Roman"/>
          <w:vertAlign w:val="subscript"/>
        </w:rPr>
        <w:t>6</w:t>
      </w:r>
      <w:r>
        <w:rPr>
          <w:rFonts w:cs="Times New Roman"/>
        </w:rPr>
        <w:t xml:space="preserve"> -ioonid ja kuni 3,0</w:t>
      </w:r>
      <w:r w:rsidRPr="000F4B84">
        <w:rPr>
          <w:rFonts w:cs="Times New Roman"/>
        </w:rPr>
        <w:t xml:space="preserve"> </w:t>
      </w:r>
      <w:r w:rsidR="003737B8">
        <w:rPr>
          <w:rFonts w:cs="Times New Roman"/>
        </w:rPr>
        <w:t>Å kaugusel olevad ahela</w:t>
      </w:r>
      <w:r>
        <w:rPr>
          <w:rFonts w:cs="Times New Roman"/>
        </w:rPr>
        <w:t>hapnikud. Süsteemides olevate katioonide sumaarne koordinatsiooniarv on keskmiselt 6-7, mis on küllaltki kõrge</w:t>
      </w:r>
      <w:r w:rsidR="001A4EE9">
        <w:rPr>
          <w:rFonts w:cs="Times New Roman"/>
        </w:rPr>
        <w:t>,</w:t>
      </w:r>
      <w:r>
        <w:rPr>
          <w:rFonts w:cs="Times New Roman"/>
        </w:rPr>
        <w:t xml:space="preserve"> kuid mitte ebareaalne</w:t>
      </w:r>
      <w:r w:rsidR="001A4EE9">
        <w:rPr>
          <w:rFonts w:cs="Times New Roman"/>
        </w:rPr>
        <w:t>. S</w:t>
      </w:r>
      <w:r>
        <w:rPr>
          <w:rFonts w:cs="Times New Roman"/>
        </w:rPr>
        <w:t xml:space="preserve">amuti on see mõjutatud ka kasutatud kauguste kriteeriumitest. Tulemused näitavad, </w:t>
      </w:r>
      <w:r w:rsidR="001A4EE9">
        <w:rPr>
          <w:rFonts w:cs="Times New Roman"/>
        </w:rPr>
        <w:t xml:space="preserve">et </w:t>
      </w:r>
      <w:r>
        <w:rPr>
          <w:rFonts w:cs="Times New Roman"/>
        </w:rPr>
        <w:t>kui kasvab katiooni koordinatsioon kõrvalahela</w:t>
      </w:r>
      <w:r w:rsidR="003737B8">
        <w:rPr>
          <w:rFonts w:cs="Times New Roman"/>
        </w:rPr>
        <w:t xml:space="preserve"> </w:t>
      </w:r>
      <w:r>
        <w:rPr>
          <w:rFonts w:cs="Times New Roman"/>
        </w:rPr>
        <w:t>hapniku</w:t>
      </w:r>
      <w:r w:rsidR="003737B8">
        <w:rPr>
          <w:rFonts w:cs="Times New Roman"/>
        </w:rPr>
        <w:t>tega</w:t>
      </w:r>
      <w:r>
        <w:rPr>
          <w:rFonts w:cs="Times New Roman"/>
        </w:rPr>
        <w:t xml:space="preserve">, siis kahaneb koordinatsioon anioonidega ja vastupidi. Samuti on  seda võimalik </w:t>
      </w:r>
      <w:r w:rsidR="0091195F">
        <w:rPr>
          <w:rFonts w:cs="Times New Roman"/>
        </w:rPr>
        <w:t xml:space="preserve">näha </w:t>
      </w:r>
      <w:r>
        <w:rPr>
          <w:rFonts w:cs="Times New Roman"/>
        </w:rPr>
        <w:t>jooniste</w:t>
      </w:r>
      <w:r w:rsidR="0091195F">
        <w:rPr>
          <w:rFonts w:cs="Times New Roman"/>
        </w:rPr>
        <w:t>l 1</w:t>
      </w:r>
      <w:r w:rsidR="00045AE8">
        <w:rPr>
          <w:rFonts w:cs="Times New Roman"/>
        </w:rPr>
        <w:t>2</w:t>
      </w:r>
      <w:r w:rsidR="0091195F">
        <w:rPr>
          <w:rFonts w:cs="Times New Roman"/>
        </w:rPr>
        <w:t xml:space="preserve"> ja </w:t>
      </w:r>
      <w:r>
        <w:rPr>
          <w:rFonts w:cs="Times New Roman"/>
        </w:rPr>
        <w:t>1</w:t>
      </w:r>
      <w:r w:rsidR="00045AE8">
        <w:rPr>
          <w:rFonts w:cs="Times New Roman"/>
        </w:rPr>
        <w:t>5</w:t>
      </w:r>
      <w:r>
        <w:rPr>
          <w:rFonts w:cs="Times New Roman"/>
        </w:rPr>
        <w:t xml:space="preserve">. Nagu juba eelnevalt </w:t>
      </w:r>
      <w:r w:rsidR="0091195F">
        <w:rPr>
          <w:rFonts w:cs="Times New Roman"/>
        </w:rPr>
        <w:t>märgitud, väheneb</w:t>
      </w:r>
      <w:r>
        <w:rPr>
          <w:rFonts w:cs="Times New Roman"/>
        </w:rPr>
        <w:t xml:space="preserve"> katioonide ja anioonide koordinatsiooniarv kõrvalahelate pikenedes, mis on tingitud ühtlasema PEO sõrestiku omadusest paremini sool</w:t>
      </w:r>
      <w:r w:rsidR="0091195F">
        <w:rPr>
          <w:rFonts w:cs="Times New Roman"/>
        </w:rPr>
        <w:t>a</w:t>
      </w:r>
      <w:r>
        <w:rPr>
          <w:rFonts w:cs="Times New Roman"/>
        </w:rPr>
        <w:t xml:space="preserve"> lahustada. </w:t>
      </w:r>
    </w:p>
    <w:p w:rsidR="00A74929" w:rsidRDefault="00A74929" w:rsidP="00A74929">
      <w:pPr>
        <w:rPr>
          <w:rFonts w:cs="Times New Roman"/>
        </w:rPr>
      </w:pPr>
    </w:p>
    <w:p w:rsidR="00A74929" w:rsidRDefault="00A74929" w:rsidP="003D01F0">
      <w:pPr>
        <w:rPr>
          <w:rFonts w:cs="Times New Roman"/>
        </w:rPr>
      </w:pPr>
      <w:r w:rsidRPr="00D23A84">
        <w:rPr>
          <w:rFonts w:cs="Times New Roman"/>
          <w:noProof/>
          <w:lang w:eastAsia="et-EE"/>
        </w:rPr>
        <w:drawing>
          <wp:inline distT="0" distB="0" distL="0" distR="0">
            <wp:extent cx="5633049" cy="3140015"/>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4929" w:rsidRDefault="00A74929" w:rsidP="00A74929">
      <w:r>
        <w:rPr>
          <w:b/>
        </w:rPr>
        <w:t>J</w:t>
      </w:r>
      <w:r w:rsidRPr="000B41E1">
        <w:rPr>
          <w:b/>
        </w:rPr>
        <w:t>oonis 1</w:t>
      </w:r>
      <w:r w:rsidR="00045AE8">
        <w:rPr>
          <w:b/>
        </w:rPr>
        <w:t>7</w:t>
      </w:r>
      <w:r w:rsidRPr="000B41E1">
        <w:rPr>
          <w:b/>
        </w:rPr>
        <w:t>:</w:t>
      </w:r>
      <w:r>
        <w:t xml:space="preserve"> Li-ioonide koordinatsioon kõrvalahelatega.</w:t>
      </w:r>
    </w:p>
    <w:p w:rsidR="00E80474" w:rsidRPr="00C802F3" w:rsidRDefault="00E80474" w:rsidP="00A74929">
      <w:pPr>
        <w:rPr>
          <w:b/>
        </w:rPr>
      </w:pPr>
    </w:p>
    <w:p w:rsidR="00A74929" w:rsidRDefault="008B3346" w:rsidP="00A74929">
      <w:pPr>
        <w:rPr>
          <w:rFonts w:cs="Times New Roman"/>
        </w:rPr>
      </w:pPr>
      <w:r>
        <w:rPr>
          <w:rFonts w:cs="Times New Roman"/>
        </w:rPr>
        <w:t>Võime täheldada ka</w:t>
      </w:r>
      <w:r w:rsidR="00A74929">
        <w:rPr>
          <w:rFonts w:cs="Times New Roman"/>
        </w:rPr>
        <w:t>,</w:t>
      </w:r>
      <w:r>
        <w:rPr>
          <w:rFonts w:cs="Times New Roman"/>
        </w:rPr>
        <w:t xml:space="preserve"> et kõrvalahela </w:t>
      </w:r>
      <w:r w:rsidR="00444FB0">
        <w:rPr>
          <w:rFonts w:cs="Times New Roman"/>
        </w:rPr>
        <w:t>hapnike</w:t>
      </w:r>
      <w:r w:rsidR="00E642CD">
        <w:rPr>
          <w:rFonts w:cs="Times New Roman"/>
        </w:rPr>
        <w:t xml:space="preserve"> koordinatsiooniarv </w:t>
      </w:r>
      <w:r w:rsidR="00A74929">
        <w:rPr>
          <w:rFonts w:cs="Times New Roman"/>
        </w:rPr>
        <w:t>joonisel 1</w:t>
      </w:r>
      <w:r w:rsidR="00045AE8">
        <w:rPr>
          <w:rFonts w:cs="Times New Roman"/>
        </w:rPr>
        <w:t>7</w:t>
      </w:r>
      <w:r w:rsidR="00A74929">
        <w:rPr>
          <w:rFonts w:cs="Times New Roman"/>
        </w:rPr>
        <w:t xml:space="preserve"> järgib täpselt Li-ioonide koordinatsiooni, mis on seotud</w:t>
      </w:r>
      <w:r w:rsidR="00E642CD">
        <w:rPr>
          <w:rFonts w:cs="Times New Roman"/>
        </w:rPr>
        <w:t xml:space="preserve"> ühe kõrvalahelaga </w:t>
      </w:r>
      <w:r w:rsidR="00A74929">
        <w:rPr>
          <w:rFonts w:cs="Times New Roman"/>
        </w:rPr>
        <w:t>joonisel 1</w:t>
      </w:r>
      <w:r w:rsidR="00045AE8">
        <w:rPr>
          <w:rFonts w:cs="Times New Roman"/>
        </w:rPr>
        <w:t>6</w:t>
      </w:r>
      <w:r w:rsidR="00A74929">
        <w:rPr>
          <w:rFonts w:cs="Times New Roman"/>
        </w:rPr>
        <w:t>. Seega on tendents, kõrvalahela</w:t>
      </w:r>
      <w:r>
        <w:rPr>
          <w:rFonts w:cs="Times New Roman"/>
        </w:rPr>
        <w:t xml:space="preserve"> </w:t>
      </w:r>
      <w:r w:rsidR="00A74929">
        <w:rPr>
          <w:rFonts w:cs="Times New Roman"/>
        </w:rPr>
        <w:t>hapnike</w:t>
      </w:r>
      <w:r w:rsidR="003737B8">
        <w:rPr>
          <w:rFonts w:cs="Times New Roman"/>
        </w:rPr>
        <w:t xml:space="preserve"> aatomite</w:t>
      </w:r>
      <w:r w:rsidR="00A74929">
        <w:rPr>
          <w:rFonts w:cs="Times New Roman"/>
        </w:rPr>
        <w:t xml:space="preserve"> ko</w:t>
      </w:r>
      <w:r>
        <w:rPr>
          <w:rFonts w:cs="Times New Roman"/>
        </w:rPr>
        <w:t>ordinatsiooniarvu suurenemisele</w:t>
      </w:r>
      <w:r w:rsidR="00A74929">
        <w:rPr>
          <w:rFonts w:cs="Times New Roman"/>
        </w:rPr>
        <w:t>, kui katioon on koordineeritud järjestikuste hapniku</w:t>
      </w:r>
      <w:r w:rsidR="003737B8">
        <w:rPr>
          <w:rFonts w:cs="Times New Roman"/>
        </w:rPr>
        <w:t xml:space="preserve"> aatomi</w:t>
      </w:r>
      <w:r w:rsidR="00A74929">
        <w:rPr>
          <w:rFonts w:cs="Times New Roman"/>
        </w:rPr>
        <w:t>tega ühes kõrvalahelas. Katioonide ja ahelahapnike koordinatsiooniarv on siiski suurim 10EO süsteemis.</w:t>
      </w:r>
      <w:r>
        <w:rPr>
          <w:rFonts w:cs="Times New Roman"/>
        </w:rPr>
        <w:t xml:space="preserve"> Vaatamata sellele, et 10 ahela</w:t>
      </w:r>
      <w:r w:rsidR="00A74929">
        <w:rPr>
          <w:rFonts w:cs="Times New Roman"/>
        </w:rPr>
        <w:t>hapniku</w:t>
      </w:r>
      <w:r w:rsidR="003737B8">
        <w:rPr>
          <w:rFonts w:cs="Times New Roman"/>
        </w:rPr>
        <w:t xml:space="preserve"> aatomit</w:t>
      </w:r>
      <w:r w:rsidR="00A74929">
        <w:rPr>
          <w:rFonts w:cs="Times New Roman"/>
        </w:rPr>
        <w:t xml:space="preserve"> on rohkem, kui oleks vajalik katiooni täielikuks koordineerimiseks (6-7), tundub just selline kõrvalahela</w:t>
      </w:r>
      <w:r>
        <w:rPr>
          <w:rFonts w:cs="Times New Roman"/>
        </w:rPr>
        <w:t>te</w:t>
      </w:r>
      <w:r w:rsidR="00A74929">
        <w:rPr>
          <w:rFonts w:cs="Times New Roman"/>
        </w:rPr>
        <w:t xml:space="preserve"> pikkus olema optimaalne sidumaks katiooni ahelaga. </w:t>
      </w:r>
    </w:p>
    <w:p w:rsidR="00A74929" w:rsidRPr="00DC2812" w:rsidRDefault="00A74929" w:rsidP="00AF1811">
      <w:pPr>
        <w:pStyle w:val="Heading2"/>
        <w:rPr>
          <w:rFonts w:eastAsiaTheme="minorEastAsia"/>
          <w:b/>
        </w:rPr>
      </w:pPr>
      <w:bookmarkStart w:id="90" w:name="_Toc325224193"/>
      <w:r>
        <w:lastRenderedPageBreak/>
        <w:t>4.6.  Aatomite</w:t>
      </w:r>
      <w:r w:rsidRPr="00DC2812">
        <w:t xml:space="preserve"> </w:t>
      </w:r>
      <w:bookmarkEnd w:id="85"/>
      <w:r>
        <w:t>liikuvus süsteemis</w:t>
      </w:r>
      <w:bookmarkEnd w:id="90"/>
    </w:p>
    <w:p w:rsidR="00A74929" w:rsidRDefault="0091195F" w:rsidP="00A74929">
      <w:pPr>
        <w:rPr>
          <w:szCs w:val="24"/>
        </w:rPr>
      </w:pPr>
      <w:r>
        <w:rPr>
          <w:szCs w:val="24"/>
        </w:rPr>
        <w:t>Molekulaar</w:t>
      </w:r>
      <w:r w:rsidR="00A74929">
        <w:rPr>
          <w:szCs w:val="24"/>
        </w:rPr>
        <w:t xml:space="preserve">dünaamilistes simulatsioonides hinnatakse aatomite dünaamikat üldjuhul ruutkeskmise </w:t>
      </w:r>
      <w:r>
        <w:rPr>
          <w:szCs w:val="24"/>
        </w:rPr>
        <w:t>hälbe</w:t>
      </w:r>
      <w:r w:rsidR="00A74929">
        <w:rPr>
          <w:szCs w:val="24"/>
        </w:rPr>
        <w:t xml:space="preserve"> (MSD) abil, mis on võrdeline difusioonikoefitsiendiga. MSD põhjal ilmneb, et kõige suurema liikuvusega on kõrvalahelate otsad (CmPEO) ja kõige väiksema liikuvusega on Li</w:t>
      </w:r>
      <w:r w:rsidR="00A74929">
        <w:t>-ioonid</w:t>
      </w:r>
      <w:r w:rsidR="00444FB0">
        <w:t xml:space="preserve"> </w:t>
      </w:r>
      <w:r w:rsidR="00444FB0">
        <w:rPr>
          <w:szCs w:val="24"/>
        </w:rPr>
        <w:t>(joonis 1</w:t>
      </w:r>
      <w:r w:rsidR="00045AE8">
        <w:rPr>
          <w:szCs w:val="24"/>
        </w:rPr>
        <w:t>8</w:t>
      </w:r>
      <w:r w:rsidR="00444FB0">
        <w:rPr>
          <w:szCs w:val="24"/>
        </w:rPr>
        <w:t>)</w:t>
      </w:r>
      <w:r w:rsidR="00A74929">
        <w:rPr>
          <w:szCs w:val="24"/>
        </w:rPr>
        <w:t>.</w:t>
      </w:r>
    </w:p>
    <w:p w:rsidR="00A74929" w:rsidRDefault="00847485" w:rsidP="00A74929">
      <w:pPr>
        <w:jc w:val="center"/>
        <w:rPr>
          <w:szCs w:val="24"/>
        </w:rPr>
      </w:pPr>
      <w:r>
        <w:rPr>
          <w:noProof/>
          <w:szCs w:val="24"/>
          <w:lang w:eastAsia="et-EE"/>
        </w:rPr>
        <w:drawing>
          <wp:inline distT="0" distB="0" distL="0" distR="0">
            <wp:extent cx="5164586" cy="364897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167868" cy="3651293"/>
                    </a:xfrm>
                    <a:prstGeom prst="rect">
                      <a:avLst/>
                    </a:prstGeom>
                    <a:noFill/>
                    <a:ln w="9525">
                      <a:noFill/>
                      <a:miter lim="800000"/>
                      <a:headEnd/>
                      <a:tailEnd/>
                    </a:ln>
                  </pic:spPr>
                </pic:pic>
              </a:graphicData>
            </a:graphic>
          </wp:inline>
        </w:drawing>
      </w:r>
    </w:p>
    <w:p w:rsidR="00A74929" w:rsidRDefault="00A74929" w:rsidP="00A74929">
      <w:pPr>
        <w:rPr>
          <w:szCs w:val="24"/>
        </w:rPr>
      </w:pPr>
      <w:r w:rsidRPr="000B41E1">
        <w:rPr>
          <w:b/>
          <w:szCs w:val="24"/>
        </w:rPr>
        <w:t xml:space="preserve">Joonis </w:t>
      </w:r>
      <w:r>
        <w:rPr>
          <w:b/>
          <w:szCs w:val="24"/>
        </w:rPr>
        <w:t>1</w:t>
      </w:r>
      <w:r w:rsidR="00045AE8">
        <w:rPr>
          <w:b/>
          <w:szCs w:val="24"/>
        </w:rPr>
        <w:t>8</w:t>
      </w:r>
      <w:r w:rsidRPr="000B41E1">
        <w:rPr>
          <w:b/>
          <w:szCs w:val="24"/>
        </w:rPr>
        <w:t>:</w:t>
      </w:r>
      <w:r w:rsidR="00C4744D">
        <w:rPr>
          <w:szCs w:val="24"/>
        </w:rPr>
        <w:t xml:space="preserve"> 10</w:t>
      </w:r>
      <w:r>
        <w:rPr>
          <w:szCs w:val="24"/>
        </w:rPr>
        <w:t>EO MSD aatomite kaupa.</w:t>
      </w:r>
    </w:p>
    <w:p w:rsidR="00A74929" w:rsidRDefault="00A74929" w:rsidP="00A74929">
      <w:pPr>
        <w:rPr>
          <w:szCs w:val="24"/>
        </w:rPr>
      </w:pPr>
      <w:r>
        <w:rPr>
          <w:szCs w:val="24"/>
        </w:rPr>
        <w:t>Siin tuleb vahet teha ioonide liikuvusel ja ahela ”liikuvusel”. Kuigi arvutused on tehtud sama algoritmi järgi, on ioonide puhul tegemist vaba liikumisega ruumis, kusjuures vastasmõju teiste aatomite-ioonidega to</w:t>
      </w:r>
      <w:r w:rsidR="00444FB0">
        <w:rPr>
          <w:szCs w:val="24"/>
        </w:rPr>
        <w:t>imub tugeva elektrostaatika ja v</w:t>
      </w:r>
      <w:r>
        <w:rPr>
          <w:szCs w:val="24"/>
        </w:rPr>
        <w:t>an der Waalsi jõudude kaudu. Polümeeri ahelas olevad aatomid on aga seotud üksteistega kovalentse(te) sideme(te)ga ning seepärast on nende triiv ruumis üsnagi piiratud. Ahelaotste kõige suuremat liikuvust seletab asjaolu, et neil puudub teisel poolel seotud aatomid, võimaldades nii ahela otstel ruumis vabamalt liikuda. Kõrvalahela liikuvus O</w:t>
      </w:r>
      <w:r>
        <w:rPr>
          <w:szCs w:val="24"/>
          <w:vertAlign w:val="subscript"/>
        </w:rPr>
        <w:t>PEO</w:t>
      </w:r>
      <w:r>
        <w:rPr>
          <w:szCs w:val="24"/>
        </w:rPr>
        <w:t xml:space="preserve"> ja peaahela liikuvus süsinike esindatuses on praktiliselt ühesugune. Eraldi on vaadeldud süsinike liikuvust, mille külge kinnituvad kõrvalahelad. Ilmneb, et nende liikuvus on ca. 73% peaahela süsinike liikuvusest, mis viitab sellele, et kolm kovalentset sidet pidurdavad veidi selliste süsinike liikuvust. Antud liikuvuste järjekord on omane kõigile süsteemidele.</w:t>
      </w:r>
    </w:p>
    <w:p w:rsidR="00A74929" w:rsidRPr="00A769F0" w:rsidRDefault="00A74929" w:rsidP="00AF1811">
      <w:pPr>
        <w:pStyle w:val="Heading2"/>
        <w:rPr>
          <w:rFonts w:eastAsiaTheme="minorEastAsia"/>
          <w:szCs w:val="24"/>
        </w:rPr>
      </w:pPr>
      <w:bookmarkStart w:id="91" w:name="_Toc231118081"/>
      <w:bookmarkStart w:id="92" w:name="_Toc325224194"/>
      <w:r w:rsidRPr="00A769F0">
        <w:lastRenderedPageBreak/>
        <w:t>4.7.  Ioonide liikuvused</w:t>
      </w:r>
      <w:bookmarkEnd w:id="91"/>
      <w:bookmarkEnd w:id="92"/>
    </w:p>
    <w:p w:rsidR="00A74929" w:rsidRDefault="00A74929" w:rsidP="00F276D8">
      <w:pPr>
        <w:spacing w:after="0"/>
        <w:rPr>
          <w:szCs w:val="24"/>
        </w:rPr>
      </w:pPr>
      <w:r>
        <w:rPr>
          <w:szCs w:val="24"/>
        </w:rPr>
        <w:t xml:space="preserve">Kui võrrelda </w:t>
      </w:r>
      <w:r>
        <w:t>ioonide</w:t>
      </w:r>
      <w:r>
        <w:rPr>
          <w:szCs w:val="24"/>
        </w:rPr>
        <w:t xml:space="preserve"> difusioonikoefitsiente erinevates süsteemides (tabel 9), siis ilmneb, et aniooni liikuvus ületab Li</w:t>
      </w:r>
      <w:r>
        <w:t>-iooni</w:t>
      </w:r>
      <w:r>
        <w:rPr>
          <w:szCs w:val="24"/>
        </w:rPr>
        <w:t xml:space="preserve"> liikuvuse, mida on täheldatud ka teistes PEO-l põhinevates elektrolüütides</w:t>
      </w:r>
      <w:r w:rsidR="00630603">
        <w:rPr>
          <w:szCs w:val="24"/>
        </w:rPr>
        <w:t xml:space="preserve"> </w:t>
      </w:r>
      <w:sdt>
        <w:sdtPr>
          <w:rPr>
            <w:szCs w:val="24"/>
          </w:rPr>
          <w:id w:val="336917"/>
          <w:citation/>
        </w:sdtPr>
        <w:sdtContent>
          <w:r w:rsidR="00B23348">
            <w:rPr>
              <w:szCs w:val="24"/>
            </w:rPr>
            <w:fldChar w:fldCharType="begin"/>
          </w:r>
          <w:r w:rsidR="00630603">
            <w:rPr>
              <w:szCs w:val="24"/>
            </w:rPr>
            <w:instrText xml:space="preserve"> CITATION Fög09 \l 1061 </w:instrText>
          </w:r>
          <w:r w:rsidR="00B23348">
            <w:rPr>
              <w:szCs w:val="24"/>
            </w:rPr>
            <w:fldChar w:fldCharType="separate"/>
          </w:r>
          <w:r w:rsidR="005B76C8" w:rsidRPr="005B76C8">
            <w:rPr>
              <w:noProof/>
              <w:szCs w:val="24"/>
            </w:rPr>
            <w:t>[</w:t>
          </w:r>
          <w:hyperlink w:anchor="Fög09" w:history="1">
            <w:r w:rsidR="005B76C8" w:rsidRPr="005B76C8">
              <w:rPr>
                <w:rStyle w:val="Heading2Char"/>
                <w:rFonts w:eastAsiaTheme="minorHAnsi" w:cstheme="minorBidi"/>
                <w:noProof/>
                <w:sz w:val="24"/>
                <w:szCs w:val="24"/>
              </w:rPr>
              <w:t>54</w:t>
            </w:r>
          </w:hyperlink>
          <w:r w:rsidR="005B76C8" w:rsidRPr="005B76C8">
            <w:rPr>
              <w:noProof/>
              <w:szCs w:val="24"/>
            </w:rPr>
            <w:t>]</w:t>
          </w:r>
          <w:r w:rsidR="00B23348">
            <w:rPr>
              <w:szCs w:val="24"/>
            </w:rPr>
            <w:fldChar w:fldCharType="end"/>
          </w:r>
        </w:sdtContent>
      </w:sdt>
      <w:r>
        <w:rPr>
          <w:szCs w:val="24"/>
        </w:rPr>
        <w:t>. Põhjuseks on see, et Li</w:t>
      </w:r>
      <w:r>
        <w:t>-ioon</w:t>
      </w:r>
      <w:r>
        <w:rPr>
          <w:szCs w:val="24"/>
        </w:rPr>
        <w:t xml:space="preserve"> liigub süsteemis paaris või klastrites koos aniooniga ja/või pikki PEO ahelat. Anioonidel puudub ko</w:t>
      </w:r>
      <w:r w:rsidR="003A501F">
        <w:rPr>
          <w:szCs w:val="24"/>
        </w:rPr>
        <w:t>o</w:t>
      </w:r>
      <w:r>
        <w:rPr>
          <w:szCs w:val="24"/>
        </w:rPr>
        <w:t>rdinatsioon ahelatega, sestap liiguvad nad ruumis vabalt ringi, kuid nad võivad moodustada Li</w:t>
      </w:r>
      <w:r>
        <w:t>-iooni</w:t>
      </w:r>
      <w:r>
        <w:rPr>
          <w:szCs w:val="24"/>
        </w:rPr>
        <w:t xml:space="preserve">dega </w:t>
      </w:r>
      <w:r w:rsidR="00A1400B">
        <w:rPr>
          <w:szCs w:val="24"/>
        </w:rPr>
        <w:t>paare või suuremaid agregaate,</w:t>
      </w:r>
      <w:r>
        <w:rPr>
          <w:szCs w:val="24"/>
        </w:rPr>
        <w:t xml:space="preserve"> vähendades nii efektiivset Li</w:t>
      </w:r>
      <w:r>
        <w:t>-iooni</w:t>
      </w:r>
      <w:r>
        <w:rPr>
          <w:szCs w:val="24"/>
        </w:rPr>
        <w:t xml:space="preserve"> liikuvust. </w:t>
      </w:r>
    </w:p>
    <w:p w:rsidR="00F276D8" w:rsidRDefault="00F276D8" w:rsidP="00F276D8">
      <w:pPr>
        <w:spacing w:before="0" w:after="0"/>
      </w:pPr>
    </w:p>
    <w:tbl>
      <w:tblPr>
        <w:tblStyle w:val="LightGrid1"/>
        <w:tblW w:w="0" w:type="auto"/>
        <w:jc w:val="center"/>
        <w:tblInd w:w="-45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241"/>
        <w:gridCol w:w="2034"/>
        <w:gridCol w:w="1984"/>
        <w:gridCol w:w="1859"/>
      </w:tblGrid>
      <w:tr w:rsidR="00A74929" w:rsidRPr="00596103" w:rsidTr="008C3A17">
        <w:trPr>
          <w:cnfStyle w:val="100000000000"/>
          <w:jc w:val="center"/>
        </w:trPr>
        <w:tc>
          <w:tcPr>
            <w:cnfStyle w:val="001000000000"/>
            <w:tcW w:w="2241" w:type="dxa"/>
          </w:tcPr>
          <w:p w:rsidR="00A74929" w:rsidRPr="007E1D3E" w:rsidRDefault="0091195F" w:rsidP="00F276D8">
            <w:pPr>
              <w:spacing w:line="276" w:lineRule="auto"/>
              <w:jc w:val="center"/>
              <w:rPr>
                <w:rFonts w:cs="Times New Roman"/>
                <w:sz w:val="26"/>
                <w:szCs w:val="26"/>
              </w:rPr>
            </w:pPr>
            <w:r>
              <w:rPr>
                <w:rFonts w:cs="Times New Roman"/>
                <w:sz w:val="26"/>
                <w:szCs w:val="26"/>
              </w:rPr>
              <w:t>Süsteemi nimetus</w:t>
            </w:r>
          </w:p>
        </w:tc>
        <w:tc>
          <w:tcPr>
            <w:tcW w:w="2034" w:type="dxa"/>
          </w:tcPr>
          <w:p w:rsidR="00A74929" w:rsidRPr="007E1D3E" w:rsidRDefault="00A74929" w:rsidP="00F276D8">
            <w:pPr>
              <w:spacing w:line="276" w:lineRule="auto"/>
              <w:jc w:val="center"/>
              <w:cnfStyle w:val="100000000000"/>
              <w:rPr>
                <w:rFonts w:cs="Times New Roman"/>
                <w:sz w:val="26"/>
                <w:szCs w:val="26"/>
                <w:vertAlign w:val="superscript"/>
              </w:rPr>
            </w:pPr>
            <w:r w:rsidRPr="007E1D3E">
              <w:rPr>
                <w:rFonts w:cs="Times New Roman"/>
                <w:sz w:val="26"/>
                <w:szCs w:val="26"/>
              </w:rPr>
              <w:t>Li</w:t>
            </w:r>
            <w:r w:rsidRPr="007E1D3E">
              <w:rPr>
                <w:rFonts w:cs="Times New Roman"/>
                <w:sz w:val="26"/>
                <w:szCs w:val="26"/>
                <w:vertAlign w:val="superscript"/>
              </w:rPr>
              <w:t>+</w:t>
            </w:r>
          </w:p>
          <w:p w:rsidR="00A74929" w:rsidRPr="007E1D3E" w:rsidRDefault="00A74929" w:rsidP="00F276D8">
            <w:pPr>
              <w:spacing w:line="276" w:lineRule="auto"/>
              <w:jc w:val="center"/>
              <w:cnfStyle w:val="100000000000"/>
              <w:rPr>
                <w:rFonts w:cs="Times New Roman"/>
                <w:sz w:val="26"/>
                <w:szCs w:val="26"/>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c>
          <w:tcPr>
            <w:tcW w:w="1984" w:type="dxa"/>
          </w:tcPr>
          <w:p w:rsidR="00A74929" w:rsidRPr="007E1D3E" w:rsidRDefault="00A74929" w:rsidP="00F276D8">
            <w:pPr>
              <w:spacing w:line="276" w:lineRule="auto"/>
              <w:jc w:val="center"/>
              <w:cnfStyle w:val="100000000000"/>
              <w:rPr>
                <w:rFonts w:cs="Times New Roman"/>
                <w:sz w:val="26"/>
                <w:szCs w:val="26"/>
                <w:vertAlign w:val="subscript"/>
              </w:rPr>
            </w:pPr>
            <w:r w:rsidRPr="007E1D3E">
              <w:rPr>
                <w:rFonts w:cs="Times New Roman"/>
                <w:sz w:val="26"/>
                <w:szCs w:val="26"/>
              </w:rPr>
              <w:t>PF</w:t>
            </w:r>
            <w:r w:rsidRPr="007E1D3E">
              <w:rPr>
                <w:rFonts w:cs="Times New Roman"/>
                <w:sz w:val="26"/>
                <w:szCs w:val="26"/>
                <w:vertAlign w:val="subscript"/>
              </w:rPr>
              <w:t>6</w:t>
            </w:r>
          </w:p>
          <w:p w:rsidR="00A74929" w:rsidRPr="007E1D3E" w:rsidRDefault="00A74929" w:rsidP="00F276D8">
            <w:pPr>
              <w:spacing w:line="276" w:lineRule="auto"/>
              <w:jc w:val="center"/>
              <w:cnfStyle w:val="100000000000"/>
              <w:rPr>
                <w:rFonts w:cs="Times New Roman"/>
                <w:sz w:val="26"/>
                <w:szCs w:val="26"/>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c>
          <w:tcPr>
            <w:tcW w:w="1859" w:type="dxa"/>
          </w:tcPr>
          <w:p w:rsidR="00A74929" w:rsidRPr="007E1D3E" w:rsidRDefault="00A74929" w:rsidP="00F276D8">
            <w:pPr>
              <w:spacing w:line="276" w:lineRule="auto"/>
              <w:jc w:val="center"/>
              <w:cnfStyle w:val="100000000000"/>
              <w:rPr>
                <w:rFonts w:cs="Times New Roman"/>
                <w:sz w:val="26"/>
                <w:szCs w:val="26"/>
                <w:vertAlign w:val="subscript"/>
              </w:rPr>
            </w:pPr>
            <w:r w:rsidRPr="007E1D3E">
              <w:rPr>
                <w:rFonts w:cs="Times New Roman"/>
                <w:sz w:val="26"/>
                <w:szCs w:val="26"/>
              </w:rPr>
              <w:t>O</w:t>
            </w:r>
            <w:r w:rsidRPr="007E1D3E">
              <w:rPr>
                <w:rFonts w:cs="Times New Roman"/>
                <w:sz w:val="26"/>
                <w:szCs w:val="26"/>
                <w:vertAlign w:val="subscript"/>
              </w:rPr>
              <w:t>PEO</w:t>
            </w:r>
          </w:p>
          <w:p w:rsidR="00A74929" w:rsidRPr="007E1D3E" w:rsidRDefault="00A74929" w:rsidP="00F276D8">
            <w:pPr>
              <w:spacing w:line="276" w:lineRule="auto"/>
              <w:jc w:val="center"/>
              <w:cnfStyle w:val="100000000000"/>
              <w:rPr>
                <w:rFonts w:cs="Times New Roman"/>
                <w:sz w:val="26"/>
                <w:szCs w:val="26"/>
                <w:vertAlign w:val="subscript"/>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A74929" w:rsidP="00F276D8">
            <w:pPr>
              <w:jc w:val="center"/>
              <w:rPr>
                <w:rFonts w:cs="Times New Roman"/>
                <w:b w:val="0"/>
                <w:szCs w:val="24"/>
              </w:rPr>
            </w:pPr>
            <w:r w:rsidRPr="00225555">
              <w:rPr>
                <w:rFonts w:cs="Times New Roman"/>
                <w:szCs w:val="24"/>
              </w:rPr>
              <w:t>4EO</w:t>
            </w:r>
          </w:p>
        </w:tc>
        <w:tc>
          <w:tcPr>
            <w:tcW w:w="2034"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8.4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1.2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2.1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jc w:val="center"/>
        </w:trPr>
        <w:tc>
          <w:tcPr>
            <w:cnfStyle w:val="001000000000"/>
            <w:tcW w:w="2241" w:type="dxa"/>
          </w:tcPr>
          <w:p w:rsidR="00A74929" w:rsidRPr="00225555" w:rsidRDefault="0091195F" w:rsidP="00F276D8">
            <w:pPr>
              <w:jc w:val="center"/>
              <w:rPr>
                <w:rFonts w:cs="Times New Roman"/>
                <w:b w:val="0"/>
                <w:szCs w:val="24"/>
              </w:rPr>
            </w:pPr>
            <w:r>
              <w:rPr>
                <w:rFonts w:cs="Times New Roman"/>
                <w:szCs w:val="24"/>
              </w:rPr>
              <w:t>6</w:t>
            </w:r>
            <w:r w:rsidR="00A74929" w:rsidRPr="00225555">
              <w:rPr>
                <w:rFonts w:cs="Times New Roman"/>
                <w:szCs w:val="24"/>
              </w:rPr>
              <w:t>EO</w:t>
            </w:r>
          </w:p>
        </w:tc>
        <w:tc>
          <w:tcPr>
            <w:tcW w:w="2034" w:type="dxa"/>
          </w:tcPr>
          <w:p w:rsidR="00A74929" w:rsidRPr="007E1D3E" w:rsidRDefault="00A74929" w:rsidP="00F276D8">
            <w:pPr>
              <w:jc w:val="center"/>
              <w:cnfStyle w:val="000000010000"/>
              <w:rPr>
                <w:rFonts w:cs="Times New Roman"/>
                <w:szCs w:val="24"/>
              </w:rPr>
            </w:pPr>
            <w:r w:rsidRPr="007E1D3E">
              <w:rPr>
                <w:rFonts w:cs="Times New Roman"/>
                <w:szCs w:val="24"/>
              </w:rPr>
              <w:t>9.5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tcPr>
          <w:p w:rsidR="00A74929" w:rsidRPr="007E1D3E" w:rsidRDefault="00A74929" w:rsidP="00F276D8">
            <w:pPr>
              <w:jc w:val="center"/>
              <w:cnfStyle w:val="000000010000"/>
              <w:rPr>
                <w:rFonts w:cs="Times New Roman"/>
                <w:szCs w:val="24"/>
              </w:rPr>
            </w:pPr>
            <w:r w:rsidRPr="007E1D3E">
              <w:rPr>
                <w:rFonts w:cs="Times New Roman"/>
                <w:szCs w:val="24"/>
              </w:rPr>
              <w:t>8.3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tcPr>
          <w:p w:rsidR="00A74929" w:rsidRPr="007E1D3E" w:rsidRDefault="00A74929" w:rsidP="00F276D8">
            <w:pPr>
              <w:jc w:val="center"/>
              <w:cnfStyle w:val="000000010000"/>
              <w:rPr>
                <w:rFonts w:cs="Times New Roman"/>
                <w:szCs w:val="24"/>
              </w:rPr>
            </w:pPr>
            <w:r w:rsidRPr="007E1D3E">
              <w:rPr>
                <w:rFonts w:cs="Times New Roman"/>
                <w:szCs w:val="24"/>
              </w:rPr>
              <w:t>2.1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91195F" w:rsidP="00F276D8">
            <w:pPr>
              <w:jc w:val="center"/>
              <w:rPr>
                <w:rFonts w:cs="Times New Roman"/>
                <w:b w:val="0"/>
                <w:szCs w:val="24"/>
              </w:rPr>
            </w:pPr>
            <w:r>
              <w:rPr>
                <w:rFonts w:cs="Times New Roman"/>
                <w:szCs w:val="24"/>
              </w:rPr>
              <w:t>8</w:t>
            </w:r>
            <w:r w:rsidR="00A74929" w:rsidRPr="00225555">
              <w:rPr>
                <w:rFonts w:cs="Times New Roman"/>
                <w:szCs w:val="24"/>
              </w:rPr>
              <w:t>EO</w:t>
            </w:r>
          </w:p>
        </w:tc>
        <w:tc>
          <w:tcPr>
            <w:tcW w:w="2034"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6.8</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7.5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2.0</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jc w:val="center"/>
        </w:trPr>
        <w:tc>
          <w:tcPr>
            <w:cnfStyle w:val="001000000000"/>
            <w:tcW w:w="2241" w:type="dxa"/>
          </w:tcPr>
          <w:p w:rsidR="00A74929" w:rsidRPr="00225555" w:rsidRDefault="0091195F" w:rsidP="00F276D8">
            <w:pPr>
              <w:jc w:val="center"/>
              <w:rPr>
                <w:rFonts w:cs="Times New Roman"/>
                <w:b w:val="0"/>
                <w:szCs w:val="24"/>
              </w:rPr>
            </w:pPr>
            <w:r>
              <w:rPr>
                <w:rFonts w:cs="Times New Roman"/>
                <w:szCs w:val="24"/>
              </w:rPr>
              <w:t>10</w:t>
            </w:r>
            <w:r w:rsidR="00A74929" w:rsidRPr="00225555">
              <w:rPr>
                <w:rFonts w:cs="Times New Roman"/>
                <w:szCs w:val="24"/>
              </w:rPr>
              <w:t>EO</w:t>
            </w:r>
          </w:p>
        </w:tc>
        <w:tc>
          <w:tcPr>
            <w:tcW w:w="2034" w:type="dxa"/>
          </w:tcPr>
          <w:p w:rsidR="00A74929" w:rsidRPr="007E1D3E" w:rsidRDefault="00A74929" w:rsidP="00F276D8">
            <w:pPr>
              <w:jc w:val="center"/>
              <w:cnfStyle w:val="000000010000"/>
              <w:rPr>
                <w:rFonts w:cs="Times New Roman"/>
                <w:szCs w:val="24"/>
              </w:rPr>
            </w:pPr>
            <w:r w:rsidRPr="007E1D3E">
              <w:rPr>
                <w:rFonts w:cs="Times New Roman"/>
                <w:szCs w:val="24"/>
              </w:rPr>
              <w:t>1.2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tcPr>
          <w:p w:rsidR="00A74929" w:rsidRPr="007E1D3E" w:rsidRDefault="00A74929" w:rsidP="00F276D8">
            <w:pPr>
              <w:jc w:val="center"/>
              <w:cnfStyle w:val="000000010000"/>
              <w:rPr>
                <w:rFonts w:cs="Times New Roman"/>
                <w:szCs w:val="24"/>
              </w:rPr>
            </w:pPr>
            <w:r w:rsidRPr="007E1D3E">
              <w:rPr>
                <w:rFonts w:cs="Times New Roman"/>
                <w:szCs w:val="24"/>
              </w:rPr>
              <w:t>2.2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tcPr>
          <w:p w:rsidR="00A74929" w:rsidRPr="007E1D3E" w:rsidRDefault="00A74929" w:rsidP="00F276D8">
            <w:pPr>
              <w:jc w:val="center"/>
              <w:cnfStyle w:val="000000010000"/>
              <w:rPr>
                <w:rFonts w:cs="Times New Roman"/>
                <w:szCs w:val="24"/>
              </w:rPr>
            </w:pPr>
            <w:r w:rsidRPr="007E1D3E">
              <w:rPr>
                <w:rFonts w:cs="Times New Roman"/>
                <w:szCs w:val="24"/>
              </w:rPr>
              <w:t>5.2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jc w:val="center"/>
        </w:trPr>
        <w:tc>
          <w:tcPr>
            <w:cnfStyle w:val="001000000000"/>
            <w:tcW w:w="2241" w:type="dxa"/>
            <w:shd w:val="clear" w:color="auto" w:fill="EEECE1" w:themeFill="background2"/>
          </w:tcPr>
          <w:p w:rsidR="00A74929" w:rsidRPr="00225555" w:rsidRDefault="0091195F" w:rsidP="00F276D8">
            <w:pPr>
              <w:jc w:val="center"/>
              <w:rPr>
                <w:rFonts w:cs="Times New Roman"/>
                <w:b w:val="0"/>
                <w:szCs w:val="24"/>
              </w:rPr>
            </w:pPr>
            <w:r>
              <w:rPr>
                <w:rFonts w:cs="Times New Roman"/>
                <w:szCs w:val="24"/>
              </w:rPr>
              <w:t>12</w:t>
            </w:r>
            <w:r w:rsidR="00A74929" w:rsidRPr="00225555">
              <w:rPr>
                <w:rFonts w:cs="Times New Roman"/>
                <w:szCs w:val="24"/>
              </w:rPr>
              <w:t>EO</w:t>
            </w:r>
          </w:p>
        </w:tc>
        <w:tc>
          <w:tcPr>
            <w:tcW w:w="2034"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1.1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2.6</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shd w:val="clear" w:color="auto" w:fill="EEECE1" w:themeFill="background2"/>
          </w:tcPr>
          <w:p w:rsidR="00A74929" w:rsidRPr="007E1D3E" w:rsidRDefault="00A74929" w:rsidP="00F276D8">
            <w:pPr>
              <w:jc w:val="center"/>
              <w:cnfStyle w:val="000000100000"/>
              <w:rPr>
                <w:rFonts w:cs="Times New Roman"/>
                <w:szCs w:val="24"/>
              </w:rPr>
            </w:pPr>
            <w:r w:rsidRPr="007E1D3E">
              <w:rPr>
                <w:rFonts w:cs="Times New Roman"/>
                <w:szCs w:val="24"/>
              </w:rPr>
              <w:t>3.3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jc w:val="center"/>
        </w:trPr>
        <w:tc>
          <w:tcPr>
            <w:cnfStyle w:val="001000000000"/>
            <w:tcW w:w="2241" w:type="dxa"/>
          </w:tcPr>
          <w:p w:rsidR="00A74929" w:rsidRPr="00225555" w:rsidRDefault="0091195F" w:rsidP="00F276D8">
            <w:pPr>
              <w:jc w:val="center"/>
              <w:rPr>
                <w:rFonts w:cs="Times New Roman"/>
                <w:b w:val="0"/>
                <w:szCs w:val="24"/>
              </w:rPr>
            </w:pPr>
            <w:r>
              <w:rPr>
                <w:rFonts w:cs="Times New Roman"/>
                <w:szCs w:val="24"/>
              </w:rPr>
              <w:t>15</w:t>
            </w:r>
            <w:r w:rsidR="00A74929" w:rsidRPr="00225555">
              <w:rPr>
                <w:rFonts w:cs="Times New Roman"/>
                <w:szCs w:val="24"/>
              </w:rPr>
              <w:t>EO</w:t>
            </w:r>
          </w:p>
        </w:tc>
        <w:tc>
          <w:tcPr>
            <w:tcW w:w="2034" w:type="dxa"/>
          </w:tcPr>
          <w:p w:rsidR="00A74929" w:rsidRPr="007E1D3E" w:rsidRDefault="00A74929" w:rsidP="00F276D8">
            <w:pPr>
              <w:jc w:val="center"/>
              <w:cnfStyle w:val="000000010000"/>
              <w:rPr>
                <w:rFonts w:cs="Times New Roman"/>
                <w:szCs w:val="24"/>
              </w:rPr>
            </w:pPr>
            <w:r w:rsidRPr="007E1D3E">
              <w:rPr>
                <w:rFonts w:cs="Times New Roman"/>
                <w:szCs w:val="24"/>
              </w:rPr>
              <w:t>1.5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tcPr>
          <w:p w:rsidR="00A74929" w:rsidRPr="007E1D3E" w:rsidRDefault="00A74929" w:rsidP="00F276D8">
            <w:pPr>
              <w:jc w:val="center"/>
              <w:cnfStyle w:val="000000010000"/>
              <w:rPr>
                <w:rFonts w:cs="Times New Roman"/>
                <w:szCs w:val="24"/>
              </w:rPr>
            </w:pPr>
            <w:r w:rsidRPr="007E1D3E">
              <w:rPr>
                <w:rFonts w:cs="Times New Roman"/>
                <w:szCs w:val="24"/>
              </w:rPr>
              <w:t>1.1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tcPr>
          <w:p w:rsidR="00A74929" w:rsidRPr="007E1D3E" w:rsidRDefault="00A74929" w:rsidP="00F276D8">
            <w:pPr>
              <w:jc w:val="center"/>
              <w:cnfStyle w:val="000000010000"/>
              <w:rPr>
                <w:rFonts w:cs="Times New Roman"/>
                <w:szCs w:val="24"/>
              </w:rPr>
            </w:pPr>
            <w:r w:rsidRPr="007E1D3E">
              <w:rPr>
                <w:rFonts w:cs="Times New Roman"/>
                <w:szCs w:val="24"/>
              </w:rPr>
              <w:t>2.4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bl>
    <w:p w:rsidR="00A74929" w:rsidRDefault="00A74929" w:rsidP="00F276D8">
      <w:pPr>
        <w:spacing w:after="0"/>
        <w:rPr>
          <w:szCs w:val="24"/>
        </w:rPr>
      </w:pPr>
      <w:r>
        <w:rPr>
          <w:b/>
        </w:rPr>
        <w:t>Tabel 9</w:t>
      </w:r>
      <w:r w:rsidRPr="000B41E1">
        <w:rPr>
          <w:b/>
        </w:rPr>
        <w:t>:</w:t>
      </w:r>
      <w:r>
        <w:t xml:space="preserve"> </w:t>
      </w:r>
      <w:r>
        <w:rPr>
          <w:szCs w:val="24"/>
        </w:rPr>
        <w:t>difusioonikoefitsiendid.</w:t>
      </w:r>
    </w:p>
    <w:p w:rsidR="00F276D8" w:rsidRDefault="00F276D8" w:rsidP="00A74929">
      <w:pPr>
        <w:rPr>
          <w:szCs w:val="24"/>
        </w:rPr>
      </w:pPr>
    </w:p>
    <w:p w:rsidR="00A74929" w:rsidRDefault="0001597E" w:rsidP="00A74929">
      <w:pPr>
        <w:rPr>
          <w:szCs w:val="24"/>
        </w:rPr>
      </w:pPr>
      <w:r>
        <w:rPr>
          <w:szCs w:val="24"/>
        </w:rPr>
        <w:t>Võrreldes k</w:t>
      </w:r>
      <w:r w:rsidR="00A74929">
        <w:rPr>
          <w:szCs w:val="24"/>
        </w:rPr>
        <w:t>õrvalahelaid sisaldava</w:t>
      </w:r>
      <w:r>
        <w:rPr>
          <w:szCs w:val="24"/>
        </w:rPr>
        <w:t xml:space="preserve">id PE/PEO </w:t>
      </w:r>
      <w:r w:rsidR="00A74929">
        <w:rPr>
          <w:szCs w:val="24"/>
        </w:rPr>
        <w:t>süsteem</w:t>
      </w:r>
      <w:r>
        <w:rPr>
          <w:szCs w:val="24"/>
        </w:rPr>
        <w:t>e tavalise ehk lineaarse PEO süsteemiga siis on esimeste puhul</w:t>
      </w:r>
      <w:r w:rsidR="00A74929">
        <w:rPr>
          <w:szCs w:val="24"/>
        </w:rPr>
        <w:t xml:space="preserve"> Li</w:t>
      </w:r>
      <w:r w:rsidR="00A74929">
        <w:t>-iooni</w:t>
      </w:r>
      <w:r w:rsidR="00A74929">
        <w:rPr>
          <w:szCs w:val="24"/>
        </w:rPr>
        <w:t>de difusioonikoefitsendid</w:t>
      </w:r>
      <w:r w:rsidR="00A74929" w:rsidRPr="004101B7">
        <w:rPr>
          <w:szCs w:val="24"/>
        </w:rPr>
        <w:t xml:space="preserve"> </w:t>
      </w:r>
      <w:r w:rsidR="00A74929">
        <w:rPr>
          <w:szCs w:val="24"/>
        </w:rPr>
        <w:t>silmapaistvalt suuremad, kui lineaarses PEO süsteemis (</w:t>
      </w:r>
      <w:r w:rsidR="00A74929">
        <w:rPr>
          <w:rFonts w:eastAsia="Times New Roman" w:cs="Times New Roman"/>
          <w:color w:val="000000"/>
          <w:szCs w:val="24"/>
          <w:lang w:eastAsia="et-EE"/>
        </w:rPr>
        <w:t>1.4</w:t>
      </w:r>
      <w:r w:rsidR="00A74929" w:rsidRPr="007C0823">
        <w:rPr>
          <w:rFonts w:eastAsia="Times New Roman" w:cs="Times New Roman"/>
          <w:color w:val="000000"/>
          <w:szCs w:val="24"/>
          <w:lang w:eastAsia="et-EE"/>
        </w:rPr>
        <w:t>·10</w:t>
      </w:r>
      <w:r w:rsidR="00A74929">
        <w:rPr>
          <w:rFonts w:eastAsia="Times New Roman" w:cs="Times New Roman"/>
          <w:color w:val="000000"/>
          <w:szCs w:val="24"/>
          <w:vertAlign w:val="superscript"/>
          <w:lang w:eastAsia="et-EE"/>
        </w:rPr>
        <w:t xml:space="preserve">-14 </w:t>
      </w:r>
      <w:r w:rsidR="00A74929" w:rsidRPr="007C0823">
        <w:rPr>
          <w:rFonts w:eastAsia="Times New Roman" w:cs="Times New Roman"/>
          <w:color w:val="000000"/>
          <w:szCs w:val="24"/>
          <w:lang w:eastAsia="et-EE"/>
        </w:rPr>
        <w:t>m</w:t>
      </w:r>
      <w:r w:rsidR="00A74929" w:rsidRPr="007C0823">
        <w:rPr>
          <w:rFonts w:eastAsia="Times New Roman" w:cs="Times New Roman"/>
          <w:color w:val="000000"/>
          <w:szCs w:val="24"/>
          <w:vertAlign w:val="superscript"/>
          <w:lang w:eastAsia="et-EE"/>
        </w:rPr>
        <w:t>2</w:t>
      </w:r>
      <w:r w:rsidR="00A74929" w:rsidRPr="007C0823">
        <w:rPr>
          <w:rFonts w:eastAsia="Times New Roman" w:cs="Times New Roman"/>
          <w:color w:val="000000"/>
          <w:szCs w:val="24"/>
          <w:lang w:eastAsia="et-EE"/>
        </w:rPr>
        <w:t>s</w:t>
      </w:r>
      <w:r w:rsidR="00A74929" w:rsidRPr="007C0823">
        <w:rPr>
          <w:rFonts w:eastAsia="Times New Roman" w:cs="Times New Roman"/>
          <w:color w:val="000000"/>
          <w:szCs w:val="24"/>
          <w:vertAlign w:val="superscript"/>
          <w:lang w:eastAsia="et-EE"/>
        </w:rPr>
        <w:t>-1</w:t>
      </w:r>
      <w:r w:rsidR="00A74929">
        <w:rPr>
          <w:szCs w:val="24"/>
        </w:rPr>
        <w:t>)</w:t>
      </w:r>
      <w:sdt>
        <w:sdtPr>
          <w:rPr>
            <w:szCs w:val="24"/>
          </w:rPr>
          <w:id w:val="15319290"/>
          <w:citation/>
        </w:sdtPr>
        <w:sdtContent>
          <w:r w:rsidR="00B23348">
            <w:rPr>
              <w:szCs w:val="24"/>
            </w:rPr>
            <w:fldChar w:fldCharType="begin"/>
          </w:r>
          <w:r w:rsidR="00984B43">
            <w:rPr>
              <w:szCs w:val="24"/>
            </w:rPr>
            <w:instrText xml:space="preserve"> CITATION Bra11 \l 1061  </w:instrText>
          </w:r>
          <w:r w:rsidR="00B23348">
            <w:rPr>
              <w:szCs w:val="24"/>
            </w:rPr>
            <w:fldChar w:fldCharType="separate"/>
          </w:r>
          <w:r w:rsidR="005B76C8">
            <w:rPr>
              <w:noProof/>
              <w:szCs w:val="24"/>
            </w:rPr>
            <w:t xml:space="preserve"> </w:t>
          </w:r>
          <w:r w:rsidR="005B76C8" w:rsidRPr="005B76C8">
            <w:rPr>
              <w:noProof/>
              <w:szCs w:val="24"/>
            </w:rPr>
            <w:t>[</w:t>
          </w:r>
          <w:hyperlink w:anchor="Bra11" w:history="1">
            <w:r w:rsidR="005B76C8" w:rsidRPr="005B76C8">
              <w:rPr>
                <w:rStyle w:val="Heading2Char"/>
                <w:rFonts w:eastAsiaTheme="minorHAnsi" w:cstheme="minorBidi"/>
                <w:noProof/>
                <w:sz w:val="24"/>
                <w:szCs w:val="24"/>
              </w:rPr>
              <w:t>55</w:t>
            </w:r>
          </w:hyperlink>
          <w:r w:rsidR="005B76C8" w:rsidRPr="005B76C8">
            <w:rPr>
              <w:noProof/>
              <w:szCs w:val="24"/>
            </w:rPr>
            <w:t>]</w:t>
          </w:r>
          <w:r w:rsidR="00B23348">
            <w:rPr>
              <w:szCs w:val="24"/>
            </w:rPr>
            <w:fldChar w:fldCharType="end"/>
          </w:r>
        </w:sdtContent>
      </w:sdt>
      <w:r w:rsidR="00A74929">
        <w:rPr>
          <w:szCs w:val="24"/>
        </w:rPr>
        <w:t xml:space="preserve">. Ilmnenud erinevuste vahe on </w:t>
      </w:r>
      <w:r w:rsidR="00EB1CB4">
        <w:rPr>
          <w:szCs w:val="24"/>
        </w:rPr>
        <w:t xml:space="preserve"> umbes </w:t>
      </w:r>
      <w:r w:rsidR="00A74929">
        <w:rPr>
          <w:szCs w:val="24"/>
        </w:rPr>
        <w:t>üks suurusjärk.</w:t>
      </w:r>
      <w:r w:rsidR="00A74929" w:rsidRPr="00074D5C">
        <w:rPr>
          <w:rFonts w:cs="Times New Roman"/>
          <w:szCs w:val="24"/>
        </w:rPr>
        <w:t xml:space="preserve"> </w:t>
      </w:r>
      <w:r w:rsidR="00A74929">
        <w:rPr>
          <w:rFonts w:cs="Times New Roman"/>
          <w:szCs w:val="24"/>
        </w:rPr>
        <w:t>Selline erinevus lineaarse PEO ja PE/PEO süsteemide vahel võib olla tingitud hüdrofoobsest peaahelast, mis põhjustab suuremat kõrvalahelate liikumist tänu polaarse/mittepolaarse vastastasmõju ning lokaalse struktuuri asetuse tõttu</w:t>
      </w:r>
      <w:sdt>
        <w:sdtPr>
          <w:rPr>
            <w:rFonts w:cs="Times New Roman"/>
            <w:szCs w:val="24"/>
          </w:rPr>
          <w:id w:val="93617309"/>
          <w:citation/>
        </w:sdtPr>
        <w:sdtContent>
          <w:r w:rsidR="00B23348">
            <w:rPr>
              <w:rFonts w:cs="Times New Roman"/>
              <w:szCs w:val="24"/>
            </w:rPr>
            <w:fldChar w:fldCharType="begin"/>
          </w:r>
          <w:r w:rsidR="00B75B3F">
            <w:rPr>
              <w:rFonts w:cs="Times New Roman"/>
              <w:szCs w:val="24"/>
            </w:rPr>
            <w:instrText xml:space="preserve"> CITATION E \l 1061  </w:instrText>
          </w:r>
          <w:r w:rsidR="00B23348">
            <w:rPr>
              <w:rFonts w:cs="Times New Roman"/>
              <w:szCs w:val="24"/>
            </w:rPr>
            <w:fldChar w:fldCharType="separate"/>
          </w:r>
          <w:r w:rsidR="005B76C8">
            <w:rPr>
              <w:rFonts w:cs="Times New Roman"/>
              <w:noProof/>
              <w:szCs w:val="24"/>
            </w:rPr>
            <w:t xml:space="preserve"> </w:t>
          </w:r>
          <w:r w:rsidR="005B76C8" w:rsidRPr="005B76C8">
            <w:rPr>
              <w:rFonts w:cs="Times New Roman"/>
              <w:noProof/>
              <w:szCs w:val="24"/>
            </w:rPr>
            <w:t>[</w:t>
          </w:r>
          <w:hyperlink w:anchor="E" w:history="1">
            <w:r w:rsidR="005B76C8" w:rsidRPr="005B76C8">
              <w:rPr>
                <w:rStyle w:val="Heading2Char"/>
                <w:rFonts w:eastAsiaTheme="minorHAnsi" w:cs="Times New Roman"/>
                <w:noProof/>
                <w:sz w:val="24"/>
                <w:szCs w:val="24"/>
              </w:rPr>
              <w:t>30</w:t>
            </w:r>
          </w:hyperlink>
          <w:r w:rsidR="005B76C8" w:rsidRPr="005B76C8">
            <w:rPr>
              <w:rFonts w:cs="Times New Roman"/>
              <w:noProof/>
              <w:szCs w:val="24"/>
            </w:rPr>
            <w:t>]</w:t>
          </w:r>
          <w:r w:rsidR="00B23348">
            <w:rPr>
              <w:rFonts w:cs="Times New Roman"/>
              <w:szCs w:val="24"/>
            </w:rPr>
            <w:fldChar w:fldCharType="end"/>
          </w:r>
        </w:sdtContent>
      </w:sdt>
      <w:r w:rsidR="00A74929">
        <w:rPr>
          <w:rFonts w:cs="Times New Roman"/>
          <w:szCs w:val="24"/>
        </w:rPr>
        <w:t xml:space="preserve">.  </w:t>
      </w:r>
      <w:r w:rsidR="00A74929" w:rsidRPr="00490A63">
        <w:rPr>
          <w:rFonts w:cs="Times New Roman"/>
          <w:szCs w:val="24"/>
        </w:rPr>
        <w:t>Antud</w:t>
      </w:r>
      <w:r w:rsidR="00A74929">
        <w:rPr>
          <w:szCs w:val="24"/>
        </w:rPr>
        <w:t xml:space="preserve"> tulemused on võrreldavas suurusjärgus P(EO)</w:t>
      </w:r>
      <w:r w:rsidR="00A74929">
        <w:rPr>
          <w:szCs w:val="24"/>
          <w:vertAlign w:val="subscript"/>
        </w:rPr>
        <w:t>30</w:t>
      </w:r>
      <w:r w:rsidR="00A74929">
        <w:rPr>
          <w:szCs w:val="24"/>
        </w:rPr>
        <w:t xml:space="preserve"> - LiPF</w:t>
      </w:r>
      <w:r w:rsidR="00A74929">
        <w:rPr>
          <w:szCs w:val="24"/>
          <w:vertAlign w:val="subscript"/>
        </w:rPr>
        <w:t>6</w:t>
      </w:r>
      <w:r w:rsidR="008C4718">
        <w:rPr>
          <w:szCs w:val="24"/>
        </w:rPr>
        <w:t xml:space="preserve"> kõrvalahelate</w:t>
      </w:r>
      <w:r w:rsidR="00A74929">
        <w:rPr>
          <w:szCs w:val="24"/>
        </w:rPr>
        <w:t>ga struktuuri korral saadud Li</w:t>
      </w:r>
      <w:r w:rsidR="00A74929">
        <w:t>-ioonide</w:t>
      </w:r>
      <w:r w:rsidR="00A74929">
        <w:rPr>
          <w:szCs w:val="24"/>
          <w:vertAlign w:val="superscript"/>
        </w:rPr>
        <w:t xml:space="preserve"> </w:t>
      </w:r>
      <w:r w:rsidR="00A74929">
        <w:rPr>
          <w:szCs w:val="24"/>
        </w:rPr>
        <w:t>difusioonikoefitsiendiga vahemikus 2.5</w:t>
      </w:r>
      <w:r w:rsidR="008C4718">
        <w:rPr>
          <w:szCs w:val="24"/>
        </w:rPr>
        <w:t>-</w:t>
      </w:r>
      <w:r w:rsidR="00A74929">
        <w:rPr>
          <w:szCs w:val="24"/>
        </w:rPr>
        <w:t>3.3</w:t>
      </w:r>
      <w:r w:rsidR="00A74929">
        <w:rPr>
          <w:rFonts w:eastAsia="Times New Roman" w:cs="Times New Roman"/>
          <w:color w:val="000000"/>
          <w:sz w:val="22"/>
          <w:lang w:eastAsia="et-EE"/>
        </w:rPr>
        <w:t>·</w:t>
      </w:r>
      <w:r w:rsidR="00A74929">
        <w:rPr>
          <w:szCs w:val="24"/>
        </w:rPr>
        <w:t>10</w:t>
      </w:r>
      <w:r w:rsidR="00A74929">
        <w:rPr>
          <w:szCs w:val="24"/>
          <w:vertAlign w:val="superscript"/>
        </w:rPr>
        <w:t>-13</w:t>
      </w:r>
      <w:r w:rsidR="00A74929">
        <w:rPr>
          <w:szCs w:val="24"/>
        </w:rPr>
        <w:t xml:space="preserve"> m</w:t>
      </w:r>
      <w:r w:rsidR="00A74929">
        <w:rPr>
          <w:szCs w:val="24"/>
          <w:vertAlign w:val="superscript"/>
        </w:rPr>
        <w:t>2</w:t>
      </w:r>
      <w:r w:rsidR="00A74929">
        <w:rPr>
          <w:szCs w:val="24"/>
        </w:rPr>
        <w:t>s</w:t>
      </w:r>
      <w:r w:rsidR="00A74929">
        <w:rPr>
          <w:szCs w:val="24"/>
          <w:vertAlign w:val="superscript"/>
        </w:rPr>
        <w:t xml:space="preserve">-1 </w:t>
      </w:r>
      <w:sdt>
        <w:sdtPr>
          <w:rPr>
            <w:szCs w:val="24"/>
            <w:vertAlign w:val="superscript"/>
          </w:rPr>
          <w:id w:val="336918"/>
          <w:citation/>
        </w:sdtPr>
        <w:sdtContent>
          <w:r w:rsidR="00B23348">
            <w:rPr>
              <w:szCs w:val="24"/>
              <w:vertAlign w:val="superscript"/>
            </w:rPr>
            <w:fldChar w:fldCharType="begin"/>
          </w:r>
          <w:r w:rsidR="00630603">
            <w:rPr>
              <w:szCs w:val="24"/>
            </w:rPr>
            <w:instrText xml:space="preserve"> CITATION AD \l 1061 </w:instrText>
          </w:r>
          <w:r w:rsidR="00B23348">
            <w:rPr>
              <w:szCs w:val="24"/>
              <w:vertAlign w:val="superscript"/>
            </w:rPr>
            <w:fldChar w:fldCharType="separate"/>
          </w:r>
          <w:r w:rsidR="005B76C8" w:rsidRPr="005B76C8">
            <w:rPr>
              <w:noProof/>
              <w:szCs w:val="24"/>
            </w:rPr>
            <w:t>[</w:t>
          </w:r>
          <w:hyperlink w:anchor="AD" w:history="1">
            <w:r w:rsidR="005B76C8" w:rsidRPr="005B76C8">
              <w:rPr>
                <w:rStyle w:val="Heading2Char"/>
                <w:rFonts w:eastAsiaTheme="minorHAnsi" w:cstheme="minorBidi"/>
                <w:noProof/>
                <w:sz w:val="24"/>
                <w:szCs w:val="24"/>
              </w:rPr>
              <w:t>36</w:t>
            </w:r>
          </w:hyperlink>
          <w:r w:rsidR="005B76C8" w:rsidRPr="005B76C8">
            <w:rPr>
              <w:noProof/>
              <w:szCs w:val="24"/>
            </w:rPr>
            <w:t>]</w:t>
          </w:r>
          <w:r w:rsidR="00B23348">
            <w:rPr>
              <w:szCs w:val="24"/>
              <w:vertAlign w:val="superscript"/>
            </w:rPr>
            <w:fldChar w:fldCharType="end"/>
          </w:r>
        </w:sdtContent>
      </w:sdt>
      <w:r w:rsidR="00A74929">
        <w:rPr>
          <w:szCs w:val="24"/>
        </w:rPr>
        <w:t xml:space="preserve">, kuid on mõnevõrra madalamad eksperimentaalselt mõõdetud </w:t>
      </w:r>
      <w:r w:rsidR="00A74929" w:rsidRPr="00731C0C">
        <w:rPr>
          <w:szCs w:val="24"/>
        </w:rPr>
        <w:t>LiPF</w:t>
      </w:r>
      <w:r w:rsidR="00A74929">
        <w:rPr>
          <w:szCs w:val="24"/>
          <w:vertAlign w:val="subscript"/>
        </w:rPr>
        <w:t>6</w:t>
      </w:r>
      <w:r w:rsidR="00A74929">
        <w:rPr>
          <w:szCs w:val="24"/>
        </w:rPr>
        <w:t xml:space="preserve"> – PEO süsteemi tulemustest</w:t>
      </w:r>
      <w:r w:rsidR="00630603">
        <w:rPr>
          <w:szCs w:val="24"/>
        </w:rPr>
        <w:t xml:space="preserve"> </w:t>
      </w:r>
      <w:sdt>
        <w:sdtPr>
          <w:rPr>
            <w:szCs w:val="24"/>
          </w:rPr>
          <w:id w:val="336919"/>
          <w:citation/>
        </w:sdtPr>
        <w:sdtContent>
          <w:r w:rsidR="00B23348">
            <w:rPr>
              <w:szCs w:val="24"/>
            </w:rPr>
            <w:fldChar w:fldCharType="begin"/>
          </w:r>
          <w:r w:rsidR="00630603">
            <w:rPr>
              <w:szCs w:val="24"/>
            </w:rPr>
            <w:instrText xml:space="preserve"> CITATION Aru93 \l 1061 </w:instrText>
          </w:r>
          <w:r w:rsidR="00B23348">
            <w:rPr>
              <w:szCs w:val="24"/>
            </w:rPr>
            <w:fldChar w:fldCharType="separate"/>
          </w:r>
          <w:r w:rsidR="005B76C8" w:rsidRPr="005B76C8">
            <w:rPr>
              <w:noProof/>
              <w:szCs w:val="24"/>
            </w:rPr>
            <w:t>[</w:t>
          </w:r>
          <w:hyperlink w:anchor="Aru93" w:history="1">
            <w:r w:rsidR="005B76C8" w:rsidRPr="005B76C8">
              <w:rPr>
                <w:rStyle w:val="Heading2Char"/>
                <w:rFonts w:eastAsiaTheme="minorHAnsi" w:cstheme="minorBidi"/>
                <w:noProof/>
                <w:sz w:val="24"/>
                <w:szCs w:val="24"/>
              </w:rPr>
              <w:t>56</w:t>
            </w:r>
          </w:hyperlink>
          <w:r w:rsidR="005B76C8" w:rsidRPr="005B76C8">
            <w:rPr>
              <w:noProof/>
              <w:szCs w:val="24"/>
            </w:rPr>
            <w:t>]</w:t>
          </w:r>
          <w:r w:rsidR="00B23348">
            <w:rPr>
              <w:szCs w:val="24"/>
            </w:rPr>
            <w:fldChar w:fldCharType="end"/>
          </w:r>
        </w:sdtContent>
      </w:sdt>
      <w:r w:rsidR="00A74929">
        <w:rPr>
          <w:szCs w:val="24"/>
        </w:rPr>
        <w:t>. Analoogset ioonide liikuvuse kasvu on eksperimentaalselt näidatud ka PE/PEO plokk-kopolüme</w:t>
      </w:r>
      <w:r w:rsidR="00BC3D9F">
        <w:rPr>
          <w:szCs w:val="24"/>
        </w:rPr>
        <w:t>e</w:t>
      </w:r>
      <w:r w:rsidR="00A74929">
        <w:rPr>
          <w:szCs w:val="24"/>
        </w:rPr>
        <w:t>ri süsteemides</w:t>
      </w:r>
      <w:r w:rsidR="00630603">
        <w:rPr>
          <w:szCs w:val="24"/>
        </w:rPr>
        <w:t xml:space="preserve"> </w:t>
      </w:r>
      <w:sdt>
        <w:sdtPr>
          <w:rPr>
            <w:szCs w:val="24"/>
          </w:rPr>
          <w:id w:val="336920"/>
          <w:citation/>
        </w:sdtPr>
        <w:sdtContent>
          <w:r w:rsidR="00B23348">
            <w:rPr>
              <w:szCs w:val="24"/>
            </w:rPr>
            <w:fldChar w:fldCharType="begin"/>
          </w:r>
          <w:r w:rsidR="00B75B3F">
            <w:rPr>
              <w:szCs w:val="24"/>
            </w:rPr>
            <w:instrText xml:space="preserve"> CITATION E \l 1061  </w:instrText>
          </w:r>
          <w:r w:rsidR="00B23348">
            <w:rPr>
              <w:szCs w:val="24"/>
            </w:rPr>
            <w:fldChar w:fldCharType="separate"/>
          </w:r>
          <w:r w:rsidR="005B76C8" w:rsidRPr="005B76C8">
            <w:rPr>
              <w:noProof/>
              <w:szCs w:val="24"/>
            </w:rPr>
            <w:t>[</w:t>
          </w:r>
          <w:hyperlink w:anchor="E" w:history="1">
            <w:r w:rsidR="005B76C8" w:rsidRPr="005B76C8">
              <w:rPr>
                <w:rStyle w:val="Heading2Char"/>
                <w:rFonts w:eastAsiaTheme="minorHAnsi" w:cstheme="minorBidi"/>
                <w:noProof/>
                <w:sz w:val="24"/>
                <w:szCs w:val="24"/>
              </w:rPr>
              <w:t>30</w:t>
            </w:r>
          </w:hyperlink>
          <w:r w:rsidR="005B76C8" w:rsidRPr="005B76C8">
            <w:rPr>
              <w:noProof/>
              <w:szCs w:val="24"/>
            </w:rPr>
            <w:t>]</w:t>
          </w:r>
          <w:r w:rsidR="00B23348">
            <w:rPr>
              <w:szCs w:val="24"/>
            </w:rPr>
            <w:fldChar w:fldCharType="end"/>
          </w:r>
        </w:sdtContent>
      </w:sdt>
      <w:r w:rsidR="00A74929">
        <w:rPr>
          <w:szCs w:val="24"/>
        </w:rPr>
        <w:t xml:space="preserve">. </w:t>
      </w:r>
    </w:p>
    <w:p w:rsidR="00A74929" w:rsidRDefault="00EF6049" w:rsidP="00A74929">
      <w:pPr>
        <w:rPr>
          <w:b/>
          <w:szCs w:val="24"/>
        </w:rPr>
      </w:pPr>
      <w:r w:rsidRPr="00EF6049">
        <w:rPr>
          <w:b/>
          <w:noProof/>
          <w:szCs w:val="24"/>
          <w:lang w:eastAsia="et-EE"/>
        </w:rPr>
        <w:lastRenderedPageBreak/>
        <w:drawing>
          <wp:inline distT="0" distB="0" distL="0" distR="0">
            <wp:extent cx="5952227" cy="2708694"/>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4929" w:rsidRPr="00E8094D" w:rsidRDefault="00A74929" w:rsidP="00A74929">
      <w:pPr>
        <w:rPr>
          <w:b/>
          <w:szCs w:val="24"/>
        </w:rPr>
      </w:pPr>
      <w:r>
        <w:rPr>
          <w:b/>
          <w:szCs w:val="24"/>
        </w:rPr>
        <w:t>Joonis 1</w:t>
      </w:r>
      <w:r w:rsidR="00045AE8">
        <w:rPr>
          <w:b/>
          <w:szCs w:val="24"/>
        </w:rPr>
        <w:t>9</w:t>
      </w:r>
      <w:r w:rsidRPr="000B41E1">
        <w:rPr>
          <w:b/>
          <w:szCs w:val="24"/>
        </w:rPr>
        <w:t>:</w:t>
      </w:r>
      <w:r>
        <w:rPr>
          <w:szCs w:val="24"/>
        </w:rPr>
        <w:t xml:space="preserve"> </w:t>
      </w:r>
      <w:bookmarkStart w:id="93" w:name="OLE_LINK1"/>
      <w:bookmarkStart w:id="94" w:name="OLE_LINK2"/>
      <w:r>
        <w:rPr>
          <w:szCs w:val="24"/>
        </w:rPr>
        <w:t>Li</w:t>
      </w:r>
      <w:r w:rsidR="00BC3D9F">
        <w:rPr>
          <w:szCs w:val="24"/>
          <w:vertAlign w:val="superscript"/>
        </w:rPr>
        <w:t>+</w:t>
      </w:r>
      <w:r>
        <w:t>-</w:t>
      </w:r>
      <w:bookmarkEnd w:id="93"/>
      <w:bookmarkEnd w:id="94"/>
      <w:r>
        <w:t>ioonide</w:t>
      </w:r>
      <w:r>
        <w:rPr>
          <w:szCs w:val="24"/>
        </w:rPr>
        <w:t>, PF</w:t>
      </w:r>
      <w:r>
        <w:rPr>
          <w:szCs w:val="24"/>
          <w:vertAlign w:val="subscript"/>
        </w:rPr>
        <w:t>6</w:t>
      </w:r>
      <w:r>
        <w:rPr>
          <w:szCs w:val="24"/>
          <w:vertAlign w:val="superscript"/>
        </w:rPr>
        <w:t>-</w:t>
      </w:r>
      <w:r>
        <w:rPr>
          <w:szCs w:val="24"/>
        </w:rPr>
        <w:t xml:space="preserve"> ja O</w:t>
      </w:r>
      <w:r>
        <w:rPr>
          <w:szCs w:val="24"/>
          <w:vertAlign w:val="subscript"/>
        </w:rPr>
        <w:t>PEO</w:t>
      </w:r>
      <w:r>
        <w:rPr>
          <w:szCs w:val="24"/>
        </w:rPr>
        <w:t xml:space="preserve"> difusioonikoefitsiendid D / m</w:t>
      </w:r>
      <w:r>
        <w:rPr>
          <w:szCs w:val="24"/>
          <w:vertAlign w:val="superscript"/>
        </w:rPr>
        <w:t>2</w:t>
      </w:r>
      <w:r>
        <w:rPr>
          <w:szCs w:val="24"/>
        </w:rPr>
        <w:t>s</w:t>
      </w:r>
      <w:r>
        <w:rPr>
          <w:szCs w:val="24"/>
          <w:vertAlign w:val="superscript"/>
        </w:rPr>
        <w:t>-1</w:t>
      </w:r>
    </w:p>
    <w:p w:rsidR="00A74929" w:rsidRPr="00AB5763" w:rsidRDefault="00AB5763" w:rsidP="00AB5763">
      <w:pPr>
        <w:rPr>
          <w:szCs w:val="24"/>
        </w:rPr>
      </w:pPr>
      <w:r>
        <w:rPr>
          <w:szCs w:val="24"/>
        </w:rPr>
        <w:t>Kui võrrelda difusioonikoefitsiente süsteemide vahel (joonis 19), siis suurimad Li, PF</w:t>
      </w:r>
      <w:r>
        <w:rPr>
          <w:szCs w:val="24"/>
          <w:vertAlign w:val="subscript"/>
        </w:rPr>
        <w:t>6</w:t>
      </w:r>
      <w:r>
        <w:rPr>
          <w:szCs w:val="24"/>
          <w:vertAlign w:val="superscript"/>
        </w:rPr>
        <w:t>-</w:t>
      </w:r>
      <w:r>
        <w:rPr>
          <w:szCs w:val="24"/>
        </w:rPr>
        <w:t xml:space="preserve"> ja ahelahapniku aatomite (O</w:t>
      </w:r>
      <w:r>
        <w:rPr>
          <w:szCs w:val="24"/>
          <w:vertAlign w:val="subscript"/>
        </w:rPr>
        <w:t>PEO</w:t>
      </w:r>
      <w:r>
        <w:rPr>
          <w:szCs w:val="24"/>
        </w:rPr>
        <w:t xml:space="preserve">) liikuvused leiame vastavalt 15EO, 12EO ja 10EO süsteemides. </w:t>
      </w:r>
      <w:r w:rsidR="00A74929">
        <w:rPr>
          <w:szCs w:val="24"/>
        </w:rPr>
        <w:t>Kuna pikemad kõrvalahelad üldjoontes tõstavad osakeste liikuvust, siis märkimisväärne difusioonikoefitsientide kasv ülemin</w:t>
      </w:r>
      <w:r w:rsidR="00673211">
        <w:rPr>
          <w:szCs w:val="24"/>
        </w:rPr>
        <w:t xml:space="preserve">ekul </w:t>
      </w:r>
      <w:r w:rsidR="00A74929">
        <w:rPr>
          <w:szCs w:val="24"/>
        </w:rPr>
        <w:t>10EO süsteemi. Si</w:t>
      </w:r>
      <w:r w:rsidR="003737B8">
        <w:rPr>
          <w:szCs w:val="24"/>
        </w:rPr>
        <w:t>iski raske on seletada, miks 10</w:t>
      </w:r>
      <w:r w:rsidR="00A74929">
        <w:rPr>
          <w:szCs w:val="24"/>
        </w:rPr>
        <w:t>EO süs</w:t>
      </w:r>
      <w:r w:rsidR="00EE2B3E">
        <w:rPr>
          <w:szCs w:val="24"/>
        </w:rPr>
        <w:t>teemis, kus katioonide ja ahela</w:t>
      </w:r>
      <w:r w:rsidR="00A74929">
        <w:rPr>
          <w:szCs w:val="24"/>
        </w:rPr>
        <w:t>hapnike vaheline koordinatsioon on suurim (joonis 1</w:t>
      </w:r>
      <w:r w:rsidR="00045AE8">
        <w:rPr>
          <w:szCs w:val="24"/>
        </w:rPr>
        <w:t>7</w:t>
      </w:r>
      <w:r w:rsidR="00A74929">
        <w:rPr>
          <w:szCs w:val="24"/>
        </w:rPr>
        <w:t>), väga kõrge O</w:t>
      </w:r>
      <w:r w:rsidR="00A74929">
        <w:rPr>
          <w:szCs w:val="24"/>
          <w:vertAlign w:val="subscript"/>
        </w:rPr>
        <w:t>PEO</w:t>
      </w:r>
      <w:r w:rsidR="00A74929">
        <w:rPr>
          <w:szCs w:val="24"/>
        </w:rPr>
        <w:t xml:space="preserve"> liikuvus ei taga oluliselt suuremat Li</w:t>
      </w:r>
      <w:r w:rsidR="00A74929">
        <w:t xml:space="preserve">-ioonide liikuvust. Tundub, et täielikult koordineerivad kõrvalahelad väänlevad ümber </w:t>
      </w:r>
      <w:r w:rsidR="00A74929">
        <w:rPr>
          <w:szCs w:val="24"/>
        </w:rPr>
        <w:t>Li</w:t>
      </w:r>
      <w:r w:rsidR="00A74929">
        <w:t>-ioonide</w:t>
      </w:r>
      <w:r w:rsidR="00444FB0">
        <w:t>,</w:t>
      </w:r>
      <w:r w:rsidR="00A74929">
        <w:t xml:space="preserve"> hoides viimaseid stabiilsena. </w:t>
      </w:r>
    </w:p>
    <w:p w:rsidR="00A74929" w:rsidRDefault="00A74929" w:rsidP="00AF1811">
      <w:pPr>
        <w:pStyle w:val="Heading2"/>
        <w:rPr>
          <w:rFonts w:eastAsiaTheme="minorEastAsia"/>
        </w:rPr>
      </w:pPr>
      <w:bookmarkStart w:id="95" w:name="_Toc231118084"/>
      <w:bookmarkStart w:id="96" w:name="_Toc325224195"/>
      <w:r>
        <w:rPr>
          <w:rFonts w:eastAsiaTheme="minorEastAsia"/>
        </w:rPr>
        <w:t xml:space="preserve">4.8.  </w:t>
      </w:r>
      <w:r>
        <w:t xml:space="preserve">Li-ioonide </w:t>
      </w:r>
      <w:r>
        <w:rPr>
          <w:rFonts w:eastAsiaTheme="minorEastAsia"/>
        </w:rPr>
        <w:t>mobiilsus</w:t>
      </w:r>
      <w:bookmarkEnd w:id="95"/>
      <w:bookmarkEnd w:id="96"/>
    </w:p>
    <w:p w:rsidR="00A74929" w:rsidRDefault="00A74929" w:rsidP="00A74929">
      <w:pPr>
        <w:rPr>
          <w:rFonts w:cs="Times New Roman"/>
        </w:rPr>
      </w:pPr>
      <w:r>
        <w:t>Li-ioonide lokaalse ümbruse detailsema</w:t>
      </w:r>
      <w:r w:rsidR="003737B8">
        <w:t>ks uurimiseks arvutati välja</w:t>
      </w:r>
      <w:r>
        <w:t xml:space="preserve"> </w:t>
      </w:r>
      <w:r w:rsidR="000A7F58">
        <w:t xml:space="preserve">iga </w:t>
      </w:r>
      <w:r>
        <w:t>Li</w:t>
      </w:r>
      <w:r w:rsidR="00E52966">
        <w:t>-</w:t>
      </w:r>
      <w:r>
        <w:t>iooni kaugus</w:t>
      </w:r>
      <w:r w:rsidR="000A7F58">
        <w:t xml:space="preserve"> </w:t>
      </w:r>
      <w:r>
        <w:t>kõrvalahela hapniku</w:t>
      </w:r>
      <w:r w:rsidR="003737B8">
        <w:t xml:space="preserve"> aatomi</w:t>
      </w:r>
      <w:r>
        <w:t>te</w:t>
      </w:r>
      <w:r w:rsidR="003737B8">
        <w:t>st</w:t>
      </w:r>
      <w:r>
        <w:t xml:space="preserve">, mis kas sisenesid, väljusid või püsisid kogu analüüsi aja Li-iooni esimeses </w:t>
      </w:r>
      <w:r w:rsidR="00045AE8">
        <w:t>koordinatsioonisfääris (joonis 20</w:t>
      </w:r>
      <w:r>
        <w:t>). RDF-i järgi (joonis 1</w:t>
      </w:r>
      <w:r w:rsidR="00045AE8">
        <w:t>5</w:t>
      </w:r>
      <w:r>
        <w:t xml:space="preserve">) on Li-ioonide esimese koordinatsioonisfääri raadiuseks </w:t>
      </w:r>
      <w:r>
        <w:rPr>
          <w:rFonts w:cs="Times New Roman"/>
        </w:rPr>
        <w:t>hapniku</w:t>
      </w:r>
      <w:r w:rsidR="003737B8">
        <w:rPr>
          <w:rFonts w:cs="Times New Roman"/>
        </w:rPr>
        <w:t xml:space="preserve"> aatomi</w:t>
      </w:r>
      <w:r>
        <w:rPr>
          <w:rFonts w:cs="Times New Roman"/>
        </w:rPr>
        <w:t xml:space="preserve"> korral 1.9Å. Anioonide dünaamiliste sündmuste arv katioonide koordinatsioonisfääris on väga väike. </w:t>
      </w:r>
    </w:p>
    <w:p w:rsidR="00673211" w:rsidRDefault="00A74929" w:rsidP="00A74929">
      <w:pPr>
        <w:rPr>
          <w:rFonts w:cs="Times New Roman"/>
        </w:rPr>
      </w:pPr>
      <w:r>
        <w:rPr>
          <w:rFonts w:cs="Times New Roman"/>
        </w:rPr>
        <w:t>Seega uuritavad sündmused jaotusid</w:t>
      </w:r>
      <w:r w:rsidR="00673211">
        <w:rPr>
          <w:rFonts w:cs="Times New Roman"/>
        </w:rPr>
        <w:t>:</w:t>
      </w:r>
    </w:p>
    <w:p w:rsidR="00673211" w:rsidRPr="00673211" w:rsidRDefault="00A74929" w:rsidP="00673211">
      <w:pPr>
        <w:pStyle w:val="ListParagraph"/>
        <w:numPr>
          <w:ilvl w:val="0"/>
          <w:numId w:val="15"/>
        </w:numPr>
      </w:pPr>
      <w:r w:rsidRPr="00673211">
        <w:rPr>
          <w:rFonts w:cs="Times New Roman"/>
        </w:rPr>
        <w:t>hapniku aatomi lühiajali</w:t>
      </w:r>
      <w:r w:rsidR="00673211">
        <w:rPr>
          <w:rFonts w:cs="Times New Roman"/>
        </w:rPr>
        <w:t>ne</w:t>
      </w:r>
      <w:r w:rsidRPr="00673211">
        <w:rPr>
          <w:rFonts w:cs="Times New Roman"/>
        </w:rPr>
        <w:t xml:space="preserve"> eemaldumi</w:t>
      </w:r>
      <w:r w:rsidR="00673211">
        <w:rPr>
          <w:rFonts w:cs="Times New Roman"/>
        </w:rPr>
        <w:t xml:space="preserve">ne </w:t>
      </w:r>
      <w:r w:rsidRPr="00673211">
        <w:rPr>
          <w:rFonts w:cs="Times New Roman"/>
        </w:rPr>
        <w:t>vaadeldava Li</w:t>
      </w:r>
      <w:r>
        <w:t>-iooni</w:t>
      </w:r>
      <w:r w:rsidRPr="00673211">
        <w:rPr>
          <w:rFonts w:cs="Times New Roman"/>
        </w:rPr>
        <w:t xml:space="preserve"> juurest</w:t>
      </w:r>
      <w:r w:rsidR="00C56F08">
        <w:rPr>
          <w:rFonts w:cs="Times New Roman"/>
        </w:rPr>
        <w:t>;</w:t>
      </w:r>
    </w:p>
    <w:p w:rsidR="00673211" w:rsidRPr="00673211" w:rsidRDefault="00673211" w:rsidP="00673211">
      <w:pPr>
        <w:pStyle w:val="ListParagraph"/>
        <w:numPr>
          <w:ilvl w:val="0"/>
          <w:numId w:val="15"/>
        </w:numPr>
      </w:pPr>
      <w:r>
        <w:rPr>
          <w:rFonts w:cs="Times New Roman"/>
        </w:rPr>
        <w:t>hapniku aatomite vahetus</w:t>
      </w:r>
      <w:r w:rsidR="00A74929" w:rsidRPr="00673211">
        <w:rPr>
          <w:rFonts w:cs="Times New Roman"/>
        </w:rPr>
        <w:t xml:space="preserve">, kus üks aatom lahkub </w:t>
      </w:r>
      <w:r>
        <w:rPr>
          <w:rFonts w:cs="Times New Roman"/>
        </w:rPr>
        <w:t xml:space="preserve">Li-iooni </w:t>
      </w:r>
      <w:r w:rsidR="00A74929" w:rsidRPr="00673211">
        <w:rPr>
          <w:rFonts w:cs="Times New Roman"/>
        </w:rPr>
        <w:t>koordinatsioonisfäärist ja teine samaaegselt siseneb sinna püsivaks viibimiseks</w:t>
      </w:r>
      <w:r w:rsidR="00C56F08">
        <w:rPr>
          <w:rFonts w:cs="Times New Roman"/>
        </w:rPr>
        <w:t>;</w:t>
      </w:r>
    </w:p>
    <w:p w:rsidR="00673211" w:rsidRPr="00673211" w:rsidRDefault="00673211" w:rsidP="00673211">
      <w:pPr>
        <w:pStyle w:val="ListParagraph"/>
        <w:numPr>
          <w:ilvl w:val="0"/>
          <w:numId w:val="15"/>
        </w:numPr>
      </w:pPr>
      <w:r>
        <w:rPr>
          <w:rFonts w:cs="Times New Roman"/>
        </w:rPr>
        <w:t xml:space="preserve">hapniku aatomi </w:t>
      </w:r>
      <w:r w:rsidR="00A74929" w:rsidRPr="00673211">
        <w:rPr>
          <w:rFonts w:cs="Times New Roman"/>
        </w:rPr>
        <w:t>eemaldumi</w:t>
      </w:r>
      <w:r>
        <w:rPr>
          <w:rFonts w:cs="Times New Roman"/>
        </w:rPr>
        <w:t xml:space="preserve">ne </w:t>
      </w:r>
      <w:r w:rsidR="00A74929" w:rsidRPr="00673211">
        <w:rPr>
          <w:rFonts w:cs="Times New Roman"/>
        </w:rPr>
        <w:t>Li</w:t>
      </w:r>
      <w:r w:rsidR="00A74929">
        <w:t>-iooni</w:t>
      </w:r>
      <w:r w:rsidR="00A74929" w:rsidRPr="00673211">
        <w:rPr>
          <w:rFonts w:cs="Times New Roman"/>
        </w:rPr>
        <w:t xml:space="preserve"> koordinatsioonisfää</w:t>
      </w:r>
      <w:r w:rsidR="00C56F08">
        <w:rPr>
          <w:rFonts w:cs="Times New Roman"/>
        </w:rPr>
        <w:t>rist;</w:t>
      </w:r>
    </w:p>
    <w:p w:rsidR="00A74929" w:rsidRPr="00B216C1" w:rsidRDefault="00673211" w:rsidP="00673211">
      <w:pPr>
        <w:pStyle w:val="ListParagraph"/>
        <w:numPr>
          <w:ilvl w:val="0"/>
          <w:numId w:val="15"/>
        </w:numPr>
      </w:pPr>
      <w:r>
        <w:rPr>
          <w:rFonts w:cs="Times New Roman"/>
        </w:rPr>
        <w:t xml:space="preserve">hapniku aatomi </w:t>
      </w:r>
      <w:r w:rsidR="00A74929" w:rsidRPr="00673211">
        <w:rPr>
          <w:rFonts w:cs="Times New Roman"/>
        </w:rPr>
        <w:t>sisenemi</w:t>
      </w:r>
      <w:r>
        <w:rPr>
          <w:rFonts w:cs="Times New Roman"/>
        </w:rPr>
        <w:t>ne</w:t>
      </w:r>
      <w:r w:rsidR="00A74929" w:rsidRPr="00673211">
        <w:rPr>
          <w:rFonts w:cs="Times New Roman"/>
        </w:rPr>
        <w:t xml:space="preserve"> Li</w:t>
      </w:r>
      <w:r w:rsidR="00A74929">
        <w:t>-iooni</w:t>
      </w:r>
      <w:r w:rsidR="00A74929" w:rsidRPr="00673211">
        <w:rPr>
          <w:rFonts w:cs="Times New Roman"/>
        </w:rPr>
        <w:t xml:space="preserve"> koordinatsioonisfääri</w:t>
      </w:r>
      <w:r w:rsidR="00C56F08">
        <w:rPr>
          <w:rFonts w:cs="Times New Roman"/>
        </w:rPr>
        <w:t>.</w:t>
      </w:r>
    </w:p>
    <w:p w:rsidR="00A74929" w:rsidRDefault="00A74929" w:rsidP="00A74929">
      <w:r w:rsidRPr="00E25039">
        <w:rPr>
          <w:noProof/>
          <w:lang w:eastAsia="et-EE"/>
        </w:rPr>
        <w:lastRenderedPageBreak/>
        <w:drawing>
          <wp:inline distT="0" distB="0" distL="0" distR="0">
            <wp:extent cx="6003985" cy="3096883"/>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4929" w:rsidRDefault="00A74929" w:rsidP="00A74929">
      <w:r w:rsidRPr="000B41E1">
        <w:rPr>
          <w:b/>
        </w:rPr>
        <w:t>Jo</w:t>
      </w:r>
      <w:r w:rsidR="00045AE8">
        <w:rPr>
          <w:b/>
        </w:rPr>
        <w:t>onis 20</w:t>
      </w:r>
      <w:r w:rsidRPr="000B41E1">
        <w:rPr>
          <w:b/>
        </w:rPr>
        <w:t>:</w:t>
      </w:r>
      <w:r>
        <w:t xml:space="preserve"> Hapnik</w:t>
      </w:r>
      <w:r w:rsidR="00A74BEB">
        <w:t>u aatomite</w:t>
      </w:r>
      <w:r>
        <w:t xml:space="preserve"> liikumised Li-ioonide koordinatsioonisfääris.</w:t>
      </w:r>
    </w:p>
    <w:p w:rsidR="00A74929" w:rsidRDefault="00A74929" w:rsidP="00A3363F">
      <w:pPr>
        <w:spacing w:before="0" w:after="0"/>
      </w:pPr>
      <w:r>
        <w:t>On näha et üldine dünaamiliste sündmuste arv ei ole suur, vaatamata sellele, et analüüsi aeg oli 10</w:t>
      </w:r>
      <w:r w:rsidR="001C2A80">
        <w:t xml:space="preserve"> </w:t>
      </w:r>
      <w:r>
        <w:t>ns. Li-ioone, mille koordinatsioonisfääris toimusid muutused, oli vähem, kui neljandik. Seda enam, et suurem</w:t>
      </w:r>
      <w:r w:rsidR="001C2A80">
        <w:t xml:space="preserve"> </w:t>
      </w:r>
      <w:r>
        <w:t>osa sündmustest moodustasid lühiajalised eemaldumised/liitumised Li-ioon</w:t>
      </w:r>
      <w:r w:rsidR="00ED5C97">
        <w:t>i koordinatsioonisfääris. Harva</w:t>
      </w:r>
      <w:r>
        <w:t>esinevad muutused Li-ioonide koordinatsioonisfääris võivad olla tingitud ka küllaltki madalast simulatsioonitemperatuurist (293K).</w:t>
      </w:r>
    </w:p>
    <w:p w:rsidR="00A3363F" w:rsidRDefault="00A3363F" w:rsidP="00A3363F">
      <w:pPr>
        <w:spacing w:before="0" w:after="0"/>
      </w:pPr>
    </w:p>
    <w:p w:rsidR="00A74929" w:rsidRDefault="00A74929" w:rsidP="00A3363F">
      <w:pPr>
        <w:spacing w:before="0" w:after="0"/>
      </w:pPr>
      <w:r>
        <w:t>Koordinatsioonis</w:t>
      </w:r>
      <w:r w:rsidR="00ED5C97">
        <w:t>fäärist lahkunud/liitunud ahela</w:t>
      </w:r>
      <w:r>
        <w:t>hapnikud iseloomustavad pigem kõrvalahelate liikuvust, kui  Li-ioonide liikumist pikki ahelat, kuid selline kõrvalahelate käitumine on siiski väga oluline mater</w:t>
      </w:r>
      <w:r w:rsidR="00EC1635">
        <w:t>j</w:t>
      </w:r>
      <w:r>
        <w:t xml:space="preserve">ali </w:t>
      </w:r>
      <w:r w:rsidR="00276200">
        <w:t xml:space="preserve">omaduste uurimisel. </w:t>
      </w:r>
      <w:r w:rsidR="00045AE8">
        <w:t>Jooniselt 20</w:t>
      </w:r>
      <w:r w:rsidR="00C4744D">
        <w:t xml:space="preserve"> on näha, et kahes süsteemis (6EO ja 8</w:t>
      </w:r>
      <w:r>
        <w:t>EO) on Li-ioonide koordinatsioonisfääris toimunud sündmuste arv umbes kaks korda väiksem võrreldes teiste süsteemidega. See on ka kooskõlas nende süsteemide suhteliselt madalate difusioon</w:t>
      </w:r>
      <w:r w:rsidR="00C4744D">
        <w:t>ikoefitsentidega (joonis 1</w:t>
      </w:r>
      <w:r w:rsidR="00045AE8">
        <w:t>9</w:t>
      </w:r>
      <w:r w:rsidR="00C4744D">
        <w:t>). 4</w:t>
      </w:r>
      <w:r>
        <w:t>EO süsteemi kõrget dünaa</w:t>
      </w:r>
      <w:r w:rsidR="00045AE8">
        <w:t>miliste sündmuste arvu (joonis 20</w:t>
      </w:r>
      <w:r>
        <w:t>), kuid üldiselt madalaid difusioonikoefitsente (joonis 1</w:t>
      </w:r>
      <w:r w:rsidR="00045AE8">
        <w:t>9</w:t>
      </w:r>
      <w:r>
        <w:t>), saab põhjendada Li-ioonide vähese liikuvusega süsteemis.</w:t>
      </w:r>
    </w:p>
    <w:p w:rsidR="00A3363F" w:rsidRDefault="00A3363F" w:rsidP="00A3363F">
      <w:pPr>
        <w:spacing w:before="0" w:after="0"/>
      </w:pPr>
    </w:p>
    <w:p w:rsidR="00A74929" w:rsidRDefault="00A74929" w:rsidP="00A74929">
      <w:r>
        <w:t>Li-ioonide dünaamikat mõjutavad ka anioonid, kuid</w:t>
      </w:r>
      <w:r w:rsidRPr="002A0BA3">
        <w:t xml:space="preserve"> </w:t>
      </w:r>
      <w:r>
        <w:t xml:space="preserve">viimaste liikumised katioonide koordinatsioonisfääris on väga harvad sündmused, mis viitab sellele, et kui juba Li-ioonid ja anioonid paarduvad või klasterduvad, siis on tekkinud vastasmõju suhteliselt tugev ja mitte eriti kergesti lagunev.  </w:t>
      </w:r>
    </w:p>
    <w:p w:rsidR="00A5564A" w:rsidRPr="00E80474" w:rsidRDefault="00C632B4" w:rsidP="00E80474">
      <w:pPr>
        <w:pStyle w:val="Heading1"/>
      </w:pPr>
      <w:r>
        <w:lastRenderedPageBreak/>
        <w:t xml:space="preserve"> </w:t>
      </w:r>
      <w:bookmarkStart w:id="97" w:name="_Toc325224196"/>
      <w:r w:rsidR="00A5564A">
        <w:t>6.   KOKKUVÕTE</w:t>
      </w:r>
      <w:bookmarkEnd w:id="97"/>
    </w:p>
    <w:p w:rsidR="00A5564A" w:rsidRDefault="00A5564A" w:rsidP="00E80474">
      <w:pPr>
        <w:rPr>
          <w:rFonts w:cs="Times New Roman"/>
          <w:szCs w:val="24"/>
        </w:rPr>
      </w:pPr>
      <w:r>
        <w:rPr>
          <w:rFonts w:cs="Times New Roman"/>
          <w:szCs w:val="24"/>
        </w:rPr>
        <w:t xml:space="preserve">Liitiumioon akude edasiarendamisel on tähtsal kohal paremate omadustega elektrolüütide väljatöötamine, mis tähendab nendes toimuvate keemilis-füüsikaliste protsesside õppimist ning uute ainete ja struktuuride võrdlemist olemasolevatega. MD simuleerimine on </w:t>
      </w:r>
      <w:r w:rsidR="00C16DAF">
        <w:rPr>
          <w:rFonts w:cs="Times New Roman"/>
          <w:szCs w:val="24"/>
        </w:rPr>
        <w:t>selle</w:t>
      </w:r>
      <w:r>
        <w:rPr>
          <w:rFonts w:cs="Times New Roman"/>
          <w:szCs w:val="24"/>
        </w:rPr>
        <w:t xml:space="preserve">ks just parim võimalus. Antud töö eesmärgiks oli uue süsteemi, kopolümeer-elektrolüüdi arvutil </w:t>
      </w:r>
      <w:r w:rsidR="002B65F5">
        <w:rPr>
          <w:rFonts w:cs="Times New Roman"/>
          <w:szCs w:val="24"/>
        </w:rPr>
        <w:t>mudeli ehitamine</w:t>
      </w:r>
      <w:r>
        <w:rPr>
          <w:rFonts w:cs="Times New Roman"/>
          <w:szCs w:val="24"/>
        </w:rPr>
        <w:t xml:space="preserve">, MD </w:t>
      </w:r>
      <w:r w:rsidR="002B65F5">
        <w:rPr>
          <w:rFonts w:cs="Times New Roman"/>
          <w:szCs w:val="24"/>
        </w:rPr>
        <w:t xml:space="preserve">simuleerimine </w:t>
      </w:r>
      <w:r>
        <w:rPr>
          <w:rFonts w:cs="Times New Roman"/>
          <w:szCs w:val="24"/>
        </w:rPr>
        <w:t xml:space="preserve">ja </w:t>
      </w:r>
      <w:r w:rsidR="002B65F5">
        <w:rPr>
          <w:rFonts w:cs="Times New Roman"/>
          <w:szCs w:val="24"/>
        </w:rPr>
        <w:t xml:space="preserve">saadud tulemuste </w:t>
      </w:r>
      <w:r>
        <w:rPr>
          <w:rFonts w:cs="Times New Roman"/>
          <w:szCs w:val="24"/>
        </w:rPr>
        <w:t>analüüsi</w:t>
      </w:r>
      <w:r w:rsidR="002B65F5">
        <w:rPr>
          <w:rFonts w:cs="Times New Roman"/>
          <w:szCs w:val="24"/>
        </w:rPr>
        <w:t>mine</w:t>
      </w:r>
      <w:r>
        <w:rPr>
          <w:rFonts w:cs="Times New Roman"/>
          <w:szCs w:val="24"/>
        </w:rPr>
        <w:t>. Süsteem koosnes kopolümeerist, mis sisaldas</w:t>
      </w:r>
      <w:r w:rsidR="002B65F5">
        <w:rPr>
          <w:rFonts w:cs="Times New Roman"/>
          <w:szCs w:val="24"/>
        </w:rPr>
        <w:t xml:space="preserve"> peaahelana polüetüleeni</w:t>
      </w:r>
      <w:r>
        <w:rPr>
          <w:rFonts w:cs="Times New Roman"/>
          <w:szCs w:val="24"/>
        </w:rPr>
        <w:t>, sellega ühendatud kõrvalahelatena</w:t>
      </w:r>
      <w:r w:rsidR="002B65F5">
        <w:rPr>
          <w:rFonts w:cs="Times New Roman"/>
          <w:szCs w:val="24"/>
        </w:rPr>
        <w:t xml:space="preserve"> polüetüleenoksiidi </w:t>
      </w:r>
      <w:r>
        <w:rPr>
          <w:rFonts w:cs="Times New Roman"/>
          <w:szCs w:val="24"/>
        </w:rPr>
        <w:t>ning soola</w:t>
      </w:r>
      <w:r w:rsidR="002B65F5">
        <w:rPr>
          <w:rFonts w:cs="Times New Roman"/>
          <w:szCs w:val="24"/>
        </w:rPr>
        <w:t xml:space="preserve">na </w:t>
      </w:r>
      <w:r>
        <w:rPr>
          <w:rFonts w:cs="Times New Roman"/>
          <w:szCs w:val="24"/>
        </w:rPr>
        <w:t>LiPF</w:t>
      </w:r>
      <w:r>
        <w:rPr>
          <w:rFonts w:cs="Times New Roman"/>
          <w:szCs w:val="24"/>
          <w:vertAlign w:val="subscript"/>
        </w:rPr>
        <w:t>6.</w:t>
      </w:r>
      <w:r>
        <w:rPr>
          <w:rFonts w:cs="Times New Roman"/>
          <w:szCs w:val="24"/>
        </w:rPr>
        <w:t xml:space="preserve"> </w:t>
      </w:r>
      <w:r w:rsidR="002B65F5">
        <w:rPr>
          <w:rFonts w:cs="Times New Roman"/>
          <w:szCs w:val="24"/>
        </w:rPr>
        <w:t>Simulatsiooni tulemused oleksid lühidalt j</w:t>
      </w:r>
      <w:r>
        <w:rPr>
          <w:rFonts w:cs="Times New Roman"/>
          <w:szCs w:val="24"/>
        </w:rPr>
        <w:t>ärgneva</w:t>
      </w:r>
      <w:r w:rsidR="002B65F5">
        <w:rPr>
          <w:rFonts w:cs="Times New Roman"/>
          <w:szCs w:val="24"/>
        </w:rPr>
        <w:t>d:</w:t>
      </w:r>
    </w:p>
    <w:p w:rsidR="00A5564A" w:rsidRDefault="00A5564A" w:rsidP="00E80474">
      <w:pPr>
        <w:pStyle w:val="ListParagraph"/>
        <w:numPr>
          <w:ilvl w:val="0"/>
          <w:numId w:val="9"/>
        </w:numPr>
        <w:spacing w:after="0"/>
        <w:ind w:left="709"/>
        <w:rPr>
          <w:rFonts w:cs="Times New Roman"/>
          <w:szCs w:val="24"/>
        </w:rPr>
      </w:pPr>
      <w:r>
        <w:rPr>
          <w:rFonts w:cs="Times New Roman"/>
          <w:szCs w:val="24"/>
        </w:rPr>
        <w:t>Arvutil simuleeriti kuue erineva kõrvalahela pikkusega kopolümeere. Kõrvalahelate pikenedes nende arv vastavalt vähenes, kuid vahekaugus hoiti muutumatuna. Polümeerile lisati LiPF</w:t>
      </w:r>
      <w:r>
        <w:rPr>
          <w:rFonts w:cs="Times New Roman"/>
          <w:szCs w:val="24"/>
          <w:vertAlign w:val="subscript"/>
        </w:rPr>
        <w:t>6</w:t>
      </w:r>
      <w:r>
        <w:rPr>
          <w:rFonts w:cs="Times New Roman"/>
          <w:szCs w:val="24"/>
        </w:rPr>
        <w:t xml:space="preserve"> soola selliselt, et Li</w:t>
      </w:r>
      <w:r>
        <w:t>-ioonide</w:t>
      </w:r>
      <w:r>
        <w:rPr>
          <w:rFonts w:cs="Times New Roman"/>
          <w:szCs w:val="24"/>
        </w:rPr>
        <w:t xml:space="preserve"> ja EO  suhe oleks 1:12.</w:t>
      </w:r>
    </w:p>
    <w:p w:rsidR="00A5564A" w:rsidRDefault="00A5564A" w:rsidP="00A5564A">
      <w:pPr>
        <w:pStyle w:val="ListParagraph"/>
        <w:numPr>
          <w:ilvl w:val="0"/>
          <w:numId w:val="9"/>
        </w:numPr>
        <w:ind w:left="709"/>
        <w:rPr>
          <w:rFonts w:cs="Times New Roman"/>
          <w:szCs w:val="24"/>
        </w:rPr>
      </w:pPr>
      <w:r>
        <w:rPr>
          <w:rFonts w:cs="Times New Roman"/>
          <w:szCs w:val="24"/>
        </w:rPr>
        <w:t>Uuriti kõrvalahela pikkuse mõju ioonide liikumisele. Tulemuseks saadi, et mida pikemad on kõrvalahelad, seda suurem on Li</w:t>
      </w:r>
      <w:r>
        <w:t>-ioonide</w:t>
      </w:r>
      <w:r>
        <w:rPr>
          <w:rFonts w:cs="Times New Roman"/>
          <w:szCs w:val="24"/>
        </w:rPr>
        <w:t xml:space="preserve"> difusioonikoefitsient (10</w:t>
      </w:r>
      <w:r w:rsidR="00C4744D">
        <w:rPr>
          <w:rFonts w:cs="Times New Roman"/>
          <w:szCs w:val="24"/>
        </w:rPr>
        <w:t xml:space="preserve">EO </w:t>
      </w:r>
      <w:r>
        <w:rPr>
          <w:rFonts w:cs="Times New Roman"/>
          <w:szCs w:val="24"/>
        </w:rPr>
        <w:t>süsteemi puhul 1,2</w:t>
      </w:r>
      <w:r>
        <w:rPr>
          <w:rFonts w:eastAsia="Times New Roman" w:cs="Times New Roman"/>
          <w:color w:val="000000"/>
          <w:sz w:val="22"/>
          <w:lang w:eastAsia="et-EE"/>
        </w:rPr>
        <w:t>·</w:t>
      </w:r>
      <w:r>
        <w:rPr>
          <w:rFonts w:cs="Times New Roman"/>
          <w:szCs w:val="24"/>
        </w:rPr>
        <w:t>10</w:t>
      </w:r>
      <w:r>
        <w:rPr>
          <w:rFonts w:cs="Times New Roman"/>
          <w:szCs w:val="24"/>
          <w:vertAlign w:val="superscript"/>
        </w:rPr>
        <w:t>-13</w:t>
      </w:r>
      <w:r>
        <w:rPr>
          <w:rFonts w:cs="Times New Roman"/>
          <w:szCs w:val="24"/>
        </w:rPr>
        <w:t>m</w:t>
      </w:r>
      <w:r>
        <w:rPr>
          <w:rFonts w:cs="Times New Roman"/>
          <w:szCs w:val="24"/>
          <w:vertAlign w:val="superscript"/>
        </w:rPr>
        <w:t>2</w:t>
      </w:r>
      <w:r>
        <w:rPr>
          <w:rFonts w:cs="Times New Roman"/>
          <w:szCs w:val="24"/>
        </w:rPr>
        <w:t>s</w:t>
      </w:r>
      <w:r>
        <w:rPr>
          <w:rFonts w:cs="Times New Roman"/>
          <w:szCs w:val="24"/>
          <w:vertAlign w:val="superscript"/>
        </w:rPr>
        <w:t>-1</w:t>
      </w:r>
      <w:r>
        <w:rPr>
          <w:rFonts w:cs="Times New Roman"/>
          <w:szCs w:val="24"/>
        </w:rPr>
        <w:t>). Kõik süsteemid näitasid vähemalt 5 korda kõrgemat Li</w:t>
      </w:r>
      <w:r>
        <w:t>-ioonide</w:t>
      </w:r>
      <w:r>
        <w:rPr>
          <w:rFonts w:cs="Times New Roman"/>
          <w:szCs w:val="24"/>
        </w:rPr>
        <w:t xml:space="preserve"> difusioonikoefitsiente, kui tavaline lineaarne PEO süsteem (1,4</w:t>
      </w:r>
      <w:r>
        <w:rPr>
          <w:rFonts w:eastAsia="Times New Roman" w:cs="Times New Roman"/>
          <w:color w:val="000000"/>
          <w:sz w:val="22"/>
          <w:lang w:eastAsia="et-EE"/>
        </w:rPr>
        <w:t>·</w:t>
      </w:r>
      <w:r>
        <w:rPr>
          <w:rFonts w:cs="Times New Roman"/>
          <w:szCs w:val="24"/>
        </w:rPr>
        <w:t>10</w:t>
      </w:r>
      <w:r>
        <w:rPr>
          <w:rFonts w:cs="Times New Roman"/>
          <w:szCs w:val="24"/>
          <w:vertAlign w:val="superscript"/>
        </w:rPr>
        <w:t>-14</w:t>
      </w:r>
      <w:r>
        <w:rPr>
          <w:rFonts w:cs="Times New Roman"/>
          <w:szCs w:val="24"/>
        </w:rPr>
        <w:t xml:space="preserve"> m</w:t>
      </w:r>
      <w:r>
        <w:rPr>
          <w:rFonts w:cs="Times New Roman"/>
          <w:szCs w:val="24"/>
          <w:vertAlign w:val="superscript"/>
        </w:rPr>
        <w:t>2</w:t>
      </w:r>
      <w:r>
        <w:rPr>
          <w:rFonts w:cs="Times New Roman"/>
          <w:szCs w:val="24"/>
        </w:rPr>
        <w:t>s</w:t>
      </w:r>
      <w:r>
        <w:rPr>
          <w:rFonts w:cs="Times New Roman"/>
          <w:szCs w:val="24"/>
          <w:vertAlign w:val="superscript"/>
        </w:rPr>
        <w:t>-1</w:t>
      </w:r>
      <w:r>
        <w:rPr>
          <w:rFonts w:cs="Times New Roman"/>
          <w:szCs w:val="24"/>
        </w:rPr>
        <w:t>).</w:t>
      </w:r>
    </w:p>
    <w:p w:rsidR="00A5564A" w:rsidRDefault="00A5564A" w:rsidP="00A5564A">
      <w:pPr>
        <w:pStyle w:val="ListParagraph"/>
        <w:numPr>
          <w:ilvl w:val="0"/>
          <w:numId w:val="9"/>
        </w:numPr>
        <w:spacing w:before="0"/>
        <w:ind w:left="709"/>
        <w:rPr>
          <w:rFonts w:cs="Times New Roman"/>
          <w:szCs w:val="24"/>
        </w:rPr>
      </w:pPr>
      <w:r>
        <w:rPr>
          <w:rFonts w:cs="Times New Roman"/>
          <w:szCs w:val="24"/>
        </w:rPr>
        <w:t>Uuriti Li</w:t>
      </w:r>
      <w:r w:rsidR="00E52966">
        <w:rPr>
          <w:rFonts w:cs="Times New Roman"/>
          <w:szCs w:val="24"/>
        </w:rPr>
        <w:t>-ioonide</w:t>
      </w:r>
      <w:r>
        <w:rPr>
          <w:rFonts w:cs="Times New Roman"/>
          <w:szCs w:val="24"/>
        </w:rPr>
        <w:t xml:space="preserve"> koordinatsiooni O</w:t>
      </w:r>
      <w:r>
        <w:rPr>
          <w:rFonts w:cs="Times New Roman"/>
          <w:szCs w:val="24"/>
          <w:vertAlign w:val="subscript"/>
        </w:rPr>
        <w:t>PEO</w:t>
      </w:r>
      <w:r>
        <w:rPr>
          <w:rFonts w:cs="Times New Roman"/>
          <w:szCs w:val="24"/>
        </w:rPr>
        <w:t xml:space="preserve"> ja PF</w:t>
      </w:r>
      <w:r>
        <w:rPr>
          <w:rFonts w:cs="Times New Roman"/>
          <w:szCs w:val="24"/>
          <w:vertAlign w:val="subscript"/>
        </w:rPr>
        <w:t>6</w:t>
      </w:r>
      <w:r>
        <w:rPr>
          <w:rFonts w:cs="Times New Roman"/>
          <w:szCs w:val="24"/>
          <w:vertAlign w:val="superscript"/>
        </w:rPr>
        <w:t xml:space="preserve"> </w:t>
      </w:r>
      <w:r>
        <w:rPr>
          <w:rFonts w:cs="Times New Roman"/>
          <w:szCs w:val="24"/>
        </w:rPr>
        <w:t>-ga. Leiti, et Li</w:t>
      </w:r>
      <w:r>
        <w:t>-ioonide</w:t>
      </w:r>
      <w:r>
        <w:rPr>
          <w:rFonts w:cs="Times New Roman"/>
          <w:szCs w:val="24"/>
        </w:rPr>
        <w:t xml:space="preserve"> ja PF</w:t>
      </w:r>
      <w:r>
        <w:rPr>
          <w:rFonts w:cs="Times New Roman"/>
          <w:szCs w:val="24"/>
          <w:vertAlign w:val="subscript"/>
        </w:rPr>
        <w:t>6</w:t>
      </w:r>
      <w:r>
        <w:t>-ioonide</w:t>
      </w:r>
      <w:r>
        <w:rPr>
          <w:rFonts w:cs="Times New Roman"/>
          <w:szCs w:val="24"/>
          <w:vertAlign w:val="superscript"/>
        </w:rPr>
        <w:t xml:space="preserve"> </w:t>
      </w:r>
      <w:r w:rsidRPr="00C07242">
        <w:rPr>
          <w:rFonts w:cs="Times New Roman"/>
          <w:szCs w:val="24"/>
        </w:rPr>
        <w:t xml:space="preserve"> </w:t>
      </w:r>
      <w:r>
        <w:rPr>
          <w:rFonts w:cs="Times New Roman"/>
          <w:szCs w:val="24"/>
        </w:rPr>
        <w:t>koordinatsiooniarv on keskmiselt 0,5 ning koordinatsiooniarv on keskmiselt 5,7 Li</w:t>
      </w:r>
      <w:r>
        <w:t>-ioonide</w:t>
      </w:r>
      <w:r w:rsidR="00A74BEB">
        <w:rPr>
          <w:rFonts w:cs="Times New Roman"/>
          <w:szCs w:val="24"/>
        </w:rPr>
        <w:t xml:space="preserve"> ja ahelahapnike</w:t>
      </w:r>
      <w:r>
        <w:rPr>
          <w:rFonts w:cs="Times New Roman"/>
          <w:szCs w:val="24"/>
        </w:rPr>
        <w:t xml:space="preserve"> vahel, mis teeb summaarseks </w:t>
      </w:r>
      <w:r w:rsidR="002B65F5">
        <w:rPr>
          <w:rFonts w:cs="Times New Roman"/>
          <w:szCs w:val="24"/>
        </w:rPr>
        <w:t xml:space="preserve">Li-ioonide </w:t>
      </w:r>
      <w:r>
        <w:rPr>
          <w:rFonts w:cs="Times New Roman"/>
          <w:szCs w:val="24"/>
        </w:rPr>
        <w:t xml:space="preserve">koordinatsiooniarvuks 6,2. </w:t>
      </w:r>
    </w:p>
    <w:p w:rsidR="00A5564A" w:rsidRDefault="00A5564A" w:rsidP="00A5564A">
      <w:pPr>
        <w:pStyle w:val="ListParagraph"/>
        <w:numPr>
          <w:ilvl w:val="0"/>
          <w:numId w:val="9"/>
        </w:numPr>
        <w:ind w:left="709"/>
        <w:rPr>
          <w:rFonts w:cs="Times New Roman"/>
          <w:szCs w:val="24"/>
        </w:rPr>
      </w:pPr>
      <w:r>
        <w:rPr>
          <w:rFonts w:cs="Times New Roman"/>
          <w:szCs w:val="24"/>
        </w:rPr>
        <w:t xml:space="preserve">Otsiti muutuseid </w:t>
      </w:r>
      <w:r w:rsidR="002B65F5">
        <w:rPr>
          <w:rFonts w:cs="Times New Roman"/>
          <w:szCs w:val="24"/>
        </w:rPr>
        <w:t>Li-iooni koordinatsioonisfääris.</w:t>
      </w:r>
      <w:r>
        <w:rPr>
          <w:rFonts w:cs="Times New Roman"/>
          <w:szCs w:val="24"/>
        </w:rPr>
        <w:t xml:space="preserve"> </w:t>
      </w:r>
      <w:r w:rsidR="002B65F5">
        <w:rPr>
          <w:rFonts w:cs="Times New Roman"/>
          <w:szCs w:val="24"/>
        </w:rPr>
        <w:t>Leiti</w:t>
      </w:r>
      <w:r>
        <w:rPr>
          <w:rFonts w:cs="Times New Roman"/>
          <w:szCs w:val="24"/>
        </w:rPr>
        <w:t>, et 10 EO ja pikemate pikkustega kõrvalahelatega süsteemides toimusid Li</w:t>
      </w:r>
      <w:r>
        <w:t>-ioonide</w:t>
      </w:r>
      <w:r>
        <w:rPr>
          <w:rFonts w:cs="Times New Roman"/>
          <w:szCs w:val="24"/>
        </w:rPr>
        <w:t xml:space="preserve"> koordinatsioonisfääris rohkem muutuseid (kuni 0,26 sündmust iooni kohta süsteemis) võrreldes 8EO  süsteemidega (0,11 sündmust iooni kohta).</w:t>
      </w:r>
    </w:p>
    <w:p w:rsidR="00A5564A" w:rsidRDefault="00A5564A" w:rsidP="00A5564A">
      <w:pPr>
        <w:rPr>
          <w:rFonts w:cs="Times New Roman"/>
          <w:szCs w:val="24"/>
        </w:rPr>
      </w:pPr>
      <w:r>
        <w:rPr>
          <w:rFonts w:cs="Times New Roman"/>
          <w:szCs w:val="24"/>
        </w:rPr>
        <w:t>Uuritu</w:t>
      </w:r>
      <w:r w:rsidR="00F8710C">
        <w:rPr>
          <w:rFonts w:cs="Times New Roman"/>
          <w:szCs w:val="24"/>
        </w:rPr>
        <w:t>d valikust eristuvad selgelt 10</w:t>
      </w:r>
      <w:r>
        <w:rPr>
          <w:rFonts w:cs="Times New Roman"/>
          <w:szCs w:val="24"/>
        </w:rPr>
        <w:t>EO ja pikemate kõrvalahelatega süsteemid. Sellised kõrvalahela pikkused on võimelised täielikult ko</w:t>
      </w:r>
      <w:r w:rsidR="003A501F">
        <w:rPr>
          <w:rFonts w:cs="Times New Roman"/>
          <w:szCs w:val="24"/>
        </w:rPr>
        <w:t>o</w:t>
      </w:r>
      <w:r>
        <w:rPr>
          <w:rFonts w:cs="Times New Roman"/>
          <w:szCs w:val="24"/>
        </w:rPr>
        <w:t xml:space="preserve">rdineerima katioone, tagama soolade  kõrget dissotsiatsioonimäära ja näitavad paremaid ioone juhtivaid omadusi. Tõhusamate järelduste tegemine on küllaltki komplitseeritud, </w:t>
      </w:r>
      <w:r w:rsidR="002B65F5">
        <w:rPr>
          <w:rFonts w:cs="Times New Roman"/>
          <w:szCs w:val="24"/>
        </w:rPr>
        <w:t xml:space="preserve">sest kuigi </w:t>
      </w:r>
      <w:r>
        <w:rPr>
          <w:rFonts w:cs="Times New Roman"/>
          <w:szCs w:val="24"/>
        </w:rPr>
        <w:t>simulatsiooniajad olid mahukad, on ilmselgelt ekperimentaalseid andmeid tulemuste võrdlemiseks liiga vähe. Edasine töö võiks sisaldada simulatsioone kõrgematel temper</w:t>
      </w:r>
      <w:r w:rsidR="00BA3C04">
        <w:rPr>
          <w:rFonts w:cs="Times New Roman"/>
          <w:szCs w:val="24"/>
        </w:rPr>
        <w:t>a</w:t>
      </w:r>
      <w:r>
        <w:rPr>
          <w:rFonts w:cs="Times New Roman"/>
          <w:szCs w:val="24"/>
        </w:rPr>
        <w:t>tuuridel või praktilisi katseid.</w:t>
      </w:r>
    </w:p>
    <w:p w:rsidR="00552A54" w:rsidRDefault="00552A54">
      <w:pPr>
        <w:spacing w:before="0" w:line="276" w:lineRule="auto"/>
        <w:rPr>
          <w:rFonts w:cs="Times New Roman"/>
          <w:szCs w:val="24"/>
        </w:rPr>
      </w:pPr>
      <w:r>
        <w:rPr>
          <w:rFonts w:cs="Times New Roman"/>
          <w:szCs w:val="24"/>
        </w:rPr>
        <w:br w:type="page"/>
      </w:r>
    </w:p>
    <w:p w:rsidR="00390617" w:rsidRDefault="00390617" w:rsidP="005B76C8">
      <w:pPr>
        <w:pStyle w:val="Heading1"/>
        <w:spacing w:before="0" w:after="0"/>
      </w:pPr>
      <w:bookmarkStart w:id="98" w:name="_Toc325224197"/>
      <w:r>
        <w:lastRenderedPageBreak/>
        <w:t>7.   KASUTATUD KIRJANDUS</w:t>
      </w:r>
      <w:bookmarkEnd w:id="98"/>
    </w:p>
    <w:p w:rsidR="005B76C8" w:rsidRDefault="00B23348" w:rsidP="005B76C8">
      <w:pPr>
        <w:pStyle w:val="Bibliography"/>
        <w:rPr>
          <w:noProof/>
          <w:vanish/>
        </w:rPr>
      </w:pPr>
      <w:r w:rsidRPr="00B23348">
        <w:rPr>
          <w:rFonts w:cs="Times New Roman"/>
          <w:bCs/>
          <w:szCs w:val="32"/>
        </w:rPr>
        <w:fldChar w:fldCharType="begin"/>
      </w:r>
      <w:r w:rsidR="00C055D9">
        <w:rPr>
          <w:rFonts w:cs="Times New Roman"/>
          <w:szCs w:val="32"/>
        </w:rPr>
        <w:instrText xml:space="preserve"> BIBLIOGRAPHY  \l 1061 </w:instrText>
      </w:r>
      <w:r w:rsidRPr="00B23348">
        <w:rPr>
          <w:rFonts w:cs="Times New Roman"/>
          <w:bCs/>
          <w:szCs w:val="32"/>
        </w:rPr>
        <w:fldChar w:fldCharType="separate"/>
      </w:r>
      <w:r w:rsidR="005B76C8">
        <w:rPr>
          <w:noProof/>
          <w:vanish/>
        </w:rPr>
        <w:t>x</w:t>
      </w:r>
    </w:p>
    <w:tbl>
      <w:tblPr>
        <w:tblW w:w="5000" w:type="pct"/>
        <w:tblCellSpacing w:w="15" w:type="dxa"/>
        <w:tblCellMar>
          <w:top w:w="15" w:type="dxa"/>
          <w:left w:w="15" w:type="dxa"/>
          <w:bottom w:w="15" w:type="dxa"/>
          <w:right w:w="15" w:type="dxa"/>
        </w:tblCellMar>
        <w:tblLook w:val="04A0"/>
      </w:tblPr>
      <w:tblGrid>
        <w:gridCol w:w="375"/>
        <w:gridCol w:w="8787"/>
      </w:tblGrid>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w:t>
            </w:r>
          </w:p>
        </w:tc>
        <w:tc>
          <w:tcPr>
            <w:tcW w:w="0" w:type="auto"/>
            <w:hideMark/>
          </w:tcPr>
          <w:p w:rsidR="005B76C8" w:rsidRDefault="005B76C8" w:rsidP="005B76C8">
            <w:pPr>
              <w:pStyle w:val="Bibliography"/>
              <w:spacing w:line="240" w:lineRule="auto"/>
              <w:rPr>
                <w:rFonts w:eastAsiaTheme="minorEastAsia"/>
                <w:noProof/>
              </w:rPr>
            </w:pPr>
            <w:r>
              <w:rPr>
                <w:noProof/>
              </w:rPr>
              <w:t xml:space="preserve">P. Kurzweil, </w:t>
            </w:r>
            <w:r>
              <w:rPr>
                <w:i/>
                <w:iCs/>
                <w:noProof/>
              </w:rPr>
              <w:t>HISTORY | Secondary Batteries</w:t>
            </w:r>
            <w:r>
              <w:rPr>
                <w:noProof/>
              </w:rPr>
              <w:t>, (2009), doi:10.1016/B978-044452745-5.00004-6.</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w:t>
            </w:r>
          </w:p>
        </w:tc>
        <w:tc>
          <w:tcPr>
            <w:tcW w:w="0" w:type="auto"/>
            <w:hideMark/>
          </w:tcPr>
          <w:p w:rsidR="005B76C8" w:rsidRDefault="005B76C8" w:rsidP="005B76C8">
            <w:pPr>
              <w:pStyle w:val="Bibliography"/>
              <w:spacing w:line="240" w:lineRule="auto"/>
              <w:rPr>
                <w:rFonts w:eastAsiaTheme="minorEastAsia"/>
                <w:noProof/>
              </w:rPr>
            </w:pPr>
            <w:r>
              <w:rPr>
                <w:noProof/>
              </w:rPr>
              <w:t xml:space="preserve">R. C. Agrawal and G. P. Pandey, "Solid polymer electrolytes: materials designing and all-solid-state battery applications: an overview", </w:t>
            </w:r>
            <w:r>
              <w:rPr>
                <w:i/>
                <w:iCs/>
                <w:noProof/>
              </w:rPr>
              <w:t>J. Phys. D: Appl. Phys.</w:t>
            </w:r>
            <w:r>
              <w:rPr>
                <w:noProof/>
              </w:rPr>
              <w:t xml:space="preserve">, </w:t>
            </w:r>
            <w:r>
              <w:rPr>
                <w:b/>
                <w:bCs/>
                <w:noProof/>
              </w:rPr>
              <w:t>41</w:t>
            </w:r>
            <w:r>
              <w:rPr>
                <w:noProof/>
              </w:rPr>
              <w:t>, (2008), 223001, doi:10.1088/0022-3727/41/22/223001.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w:t>
            </w:r>
          </w:p>
        </w:tc>
        <w:tc>
          <w:tcPr>
            <w:tcW w:w="0" w:type="auto"/>
            <w:hideMark/>
          </w:tcPr>
          <w:p w:rsidR="005B76C8" w:rsidRDefault="005B76C8" w:rsidP="005B76C8">
            <w:pPr>
              <w:pStyle w:val="Bibliography"/>
              <w:spacing w:line="240" w:lineRule="auto"/>
              <w:rPr>
                <w:rFonts w:eastAsiaTheme="minorEastAsia"/>
                <w:noProof/>
              </w:rPr>
            </w:pPr>
            <w:r>
              <w:rPr>
                <w:noProof/>
              </w:rPr>
              <w:t xml:space="preserve">Y. Liu, Y. Ono, T. Matsumura, A. Hirano, T. Ichikawa, N. Imanishi, and Y Takeda, "All solid-state Li-ion batteries based on intercalation electrodes and poly (ethylene oxide)-LiX electrolytes", </w:t>
            </w:r>
            <w:r>
              <w:rPr>
                <w:i/>
                <w:iCs/>
                <w:noProof/>
              </w:rPr>
              <w:t>Res Rep Fac Eng Mie Univ</w:t>
            </w:r>
            <w:r>
              <w:rPr>
                <w:noProof/>
              </w:rPr>
              <w:t xml:space="preserve">, </w:t>
            </w:r>
            <w:r>
              <w:rPr>
                <w:b/>
                <w:bCs/>
                <w:noProof/>
              </w:rPr>
              <w:t>30</w:t>
            </w:r>
            <w:r>
              <w:rPr>
                <w:noProof/>
              </w:rPr>
              <w:t>, (2005), 1-12.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w:t>
            </w:r>
          </w:p>
        </w:tc>
        <w:tc>
          <w:tcPr>
            <w:tcW w:w="0" w:type="auto"/>
            <w:hideMark/>
          </w:tcPr>
          <w:p w:rsidR="005B76C8" w:rsidRDefault="005B76C8" w:rsidP="005B76C8">
            <w:pPr>
              <w:pStyle w:val="Bibliography"/>
              <w:spacing w:line="240" w:lineRule="auto"/>
              <w:rPr>
                <w:rFonts w:eastAsiaTheme="minorEastAsia"/>
                <w:noProof/>
              </w:rPr>
            </w:pPr>
            <w:r>
              <w:rPr>
                <w:noProof/>
              </w:rPr>
              <w:t xml:space="preserve">Heza Taha Mahmoud and Lishan Xu, </w:t>
            </w:r>
            <w:r>
              <w:rPr>
                <w:i/>
                <w:iCs/>
                <w:noProof/>
              </w:rPr>
              <w:t>A combined Li-ion &amp; lead-acid battery system for start-stop application: potential &amp; realization</w:t>
            </w:r>
            <w:r>
              <w:rPr>
                <w:noProof/>
              </w:rPr>
              <w:t>, (2011).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w:t>
            </w:r>
          </w:p>
        </w:tc>
        <w:tc>
          <w:tcPr>
            <w:tcW w:w="0" w:type="auto"/>
            <w:hideMark/>
          </w:tcPr>
          <w:p w:rsidR="005B76C8" w:rsidRDefault="005B76C8" w:rsidP="005B76C8">
            <w:pPr>
              <w:pStyle w:val="Bibliography"/>
              <w:spacing w:line="240" w:lineRule="auto"/>
              <w:rPr>
                <w:rFonts w:eastAsiaTheme="minorEastAsia"/>
                <w:noProof/>
              </w:rPr>
            </w:pPr>
            <w:r>
              <w:rPr>
                <w:noProof/>
              </w:rPr>
              <w:t xml:space="preserve">Y. Aihara, J. Kuratomi, T. Bando, T. Iguchi, H. Yoshida, T. Ono, and K. Kuwana, "Investigation on solvent-free solid polymer electrolytes for advanced lithium batteries and their performance", </w:t>
            </w:r>
            <w:r>
              <w:rPr>
                <w:i/>
                <w:iCs/>
                <w:noProof/>
              </w:rPr>
              <w:t>Power Sources</w:t>
            </w:r>
            <w:r>
              <w:rPr>
                <w:noProof/>
              </w:rPr>
              <w:t xml:space="preserve">, </w:t>
            </w:r>
            <w:r>
              <w:rPr>
                <w:b/>
                <w:bCs/>
                <w:noProof/>
              </w:rPr>
              <w:t>114</w:t>
            </w:r>
            <w:r>
              <w:rPr>
                <w:noProof/>
              </w:rPr>
              <w:t>, (2003), 96-104.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6.</w:t>
            </w:r>
          </w:p>
        </w:tc>
        <w:tc>
          <w:tcPr>
            <w:tcW w:w="0" w:type="auto"/>
            <w:hideMark/>
          </w:tcPr>
          <w:p w:rsidR="005B76C8" w:rsidRDefault="005B76C8" w:rsidP="005B76C8">
            <w:pPr>
              <w:pStyle w:val="Bibliography"/>
              <w:spacing w:line="240" w:lineRule="auto"/>
              <w:rPr>
                <w:rFonts w:eastAsiaTheme="minorEastAsia"/>
                <w:noProof/>
              </w:rPr>
            </w:pPr>
            <w:r>
              <w:rPr>
                <w:noProof/>
              </w:rPr>
              <w:t xml:space="preserve">C. Xu, C. Ma, and M. Taya, "Electrolyte for Laminated Polymer Lithium Rechargeable Battery", </w:t>
            </w:r>
            <w:r>
              <w:rPr>
                <w:i/>
                <w:iCs/>
                <w:noProof/>
              </w:rPr>
              <w:t>Electroactive Polymer Actuators and Devices</w:t>
            </w:r>
            <w:r>
              <w:rPr>
                <w:noProof/>
              </w:rPr>
              <w:t>, (2008), 692714.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7.</w:t>
            </w:r>
          </w:p>
        </w:tc>
        <w:tc>
          <w:tcPr>
            <w:tcW w:w="0" w:type="auto"/>
            <w:hideMark/>
          </w:tcPr>
          <w:p w:rsidR="005B76C8" w:rsidRDefault="005B76C8" w:rsidP="005B76C8">
            <w:pPr>
              <w:pStyle w:val="Bibliography"/>
              <w:spacing w:line="240" w:lineRule="auto"/>
              <w:rPr>
                <w:rFonts w:eastAsiaTheme="minorEastAsia"/>
                <w:noProof/>
              </w:rPr>
            </w:pPr>
            <w:r>
              <w:rPr>
                <w:noProof/>
              </w:rPr>
              <w:t xml:space="preserve">Z. Tao and P. T. Cummings, "Molecular dynamics simulation of inorganic ions in PEO aqueous solution", </w:t>
            </w:r>
            <w:r>
              <w:rPr>
                <w:i/>
                <w:iCs/>
                <w:noProof/>
              </w:rPr>
              <w:t>Molecular Simulation</w:t>
            </w:r>
            <w:r>
              <w:rPr>
                <w:noProof/>
              </w:rPr>
              <w:t xml:space="preserve">, </w:t>
            </w:r>
            <w:r>
              <w:rPr>
                <w:b/>
                <w:bCs/>
                <w:noProof/>
              </w:rPr>
              <w:t>33</w:t>
            </w:r>
            <w:r>
              <w:rPr>
                <w:noProof/>
              </w:rPr>
              <w:t>, (2007), 1255-1260.</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8.</w:t>
            </w:r>
          </w:p>
        </w:tc>
        <w:tc>
          <w:tcPr>
            <w:tcW w:w="0" w:type="auto"/>
            <w:hideMark/>
          </w:tcPr>
          <w:p w:rsidR="005B76C8" w:rsidRDefault="005B76C8" w:rsidP="005B76C8">
            <w:pPr>
              <w:pStyle w:val="Bibliography"/>
              <w:spacing w:line="240" w:lineRule="auto"/>
              <w:rPr>
                <w:rFonts w:eastAsiaTheme="minorEastAsia"/>
                <w:noProof/>
              </w:rPr>
            </w:pPr>
            <w:r>
              <w:rPr>
                <w:noProof/>
              </w:rPr>
              <w:t xml:space="preserve">M. Grujicic, K. M. Chittajallu, G. Cao, and W. N. Roy, "An atomic level analysis of conductivity and strength in poly(ethylene oxide) sulfonic acid-based solid polymer electrolytes", </w:t>
            </w:r>
            <w:r>
              <w:rPr>
                <w:i/>
                <w:iCs/>
                <w:noProof/>
              </w:rPr>
              <w:t>Materials Science and Engineering</w:t>
            </w:r>
            <w:r>
              <w:rPr>
                <w:noProof/>
              </w:rPr>
              <w:t xml:space="preserve">, </w:t>
            </w:r>
            <w:r>
              <w:rPr>
                <w:b/>
                <w:bCs/>
                <w:noProof/>
              </w:rPr>
              <w:t>B 117</w:t>
            </w:r>
            <w:r>
              <w:rPr>
                <w:noProof/>
              </w:rPr>
              <w:t>, (2005), 187–197.</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9.</w:t>
            </w:r>
          </w:p>
        </w:tc>
        <w:tc>
          <w:tcPr>
            <w:tcW w:w="0" w:type="auto"/>
            <w:hideMark/>
          </w:tcPr>
          <w:p w:rsidR="005B76C8" w:rsidRDefault="005B76C8" w:rsidP="005B76C8">
            <w:pPr>
              <w:pStyle w:val="Bibliography"/>
              <w:spacing w:line="240" w:lineRule="auto"/>
              <w:rPr>
                <w:rFonts w:eastAsiaTheme="minorEastAsia"/>
                <w:noProof/>
              </w:rPr>
            </w:pPr>
            <w:r>
              <w:rPr>
                <w:noProof/>
              </w:rPr>
              <w:t xml:space="preserve">P. R. Smith and D. Pollard, "The role of computer simulations in engineering education", </w:t>
            </w:r>
            <w:r>
              <w:rPr>
                <w:i/>
                <w:iCs/>
                <w:noProof/>
              </w:rPr>
              <w:t>Computers &amp; Education</w:t>
            </w:r>
            <w:r>
              <w:rPr>
                <w:noProof/>
              </w:rPr>
              <w:t xml:space="preserve">, </w:t>
            </w:r>
            <w:r>
              <w:rPr>
                <w:b/>
                <w:bCs/>
                <w:noProof/>
              </w:rPr>
              <w:t>3</w:t>
            </w:r>
            <w:r>
              <w:rPr>
                <w:noProof/>
              </w:rPr>
              <w:t>, (2002), 335-340, doi:10.1016/0360-1315(86)90002-3.</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10.</w:t>
            </w:r>
          </w:p>
        </w:tc>
        <w:tc>
          <w:tcPr>
            <w:tcW w:w="0" w:type="auto"/>
            <w:hideMark/>
          </w:tcPr>
          <w:p w:rsidR="005B76C8" w:rsidRDefault="005B76C8" w:rsidP="005B76C8">
            <w:pPr>
              <w:pStyle w:val="Bibliography"/>
              <w:spacing w:line="240" w:lineRule="auto"/>
              <w:rPr>
                <w:rFonts w:eastAsiaTheme="minorEastAsia"/>
                <w:noProof/>
              </w:rPr>
            </w:pPr>
            <w:r>
              <w:rPr>
                <w:noProof/>
              </w:rPr>
              <w:t xml:space="preserve">E. A. Zubova, N. K. Balabaev, and L. I. Manevitch, "Molecular mechanisms of the chain diffusion between crystalline and amorphous fraction in polyethylene", </w:t>
            </w:r>
            <w:r>
              <w:rPr>
                <w:i/>
                <w:iCs/>
                <w:noProof/>
              </w:rPr>
              <w:t>Polymer</w:t>
            </w:r>
            <w:r>
              <w:rPr>
                <w:noProof/>
              </w:rPr>
              <w:t xml:space="preserve">, </w:t>
            </w:r>
            <w:r>
              <w:rPr>
                <w:b/>
                <w:bCs/>
                <w:noProof/>
              </w:rPr>
              <w:t>48</w:t>
            </w:r>
            <w:r>
              <w:rPr>
                <w:noProof/>
              </w:rPr>
              <w:t>, (2007), 1802-1813.</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11.</w:t>
            </w:r>
          </w:p>
        </w:tc>
        <w:tc>
          <w:tcPr>
            <w:tcW w:w="0" w:type="auto"/>
            <w:hideMark/>
          </w:tcPr>
          <w:p w:rsidR="005B76C8" w:rsidRDefault="005B76C8" w:rsidP="005B76C8">
            <w:pPr>
              <w:pStyle w:val="Bibliography"/>
              <w:spacing w:line="240" w:lineRule="auto"/>
              <w:rPr>
                <w:rFonts w:eastAsiaTheme="minorEastAsia"/>
                <w:noProof/>
              </w:rPr>
            </w:pPr>
            <w:r>
              <w:rPr>
                <w:noProof/>
              </w:rPr>
              <w:t xml:space="preserve">Z. Gadjourova, Y. G. Andreev, D. P. Tunstall, and P. G. Bruce, </w:t>
            </w:r>
            <w:r>
              <w:rPr>
                <w:i/>
                <w:iCs/>
                <w:noProof/>
              </w:rPr>
              <w:t>Nature</w:t>
            </w:r>
            <w:r>
              <w:rPr>
                <w:noProof/>
              </w:rPr>
              <w:t xml:space="preserve">, </w:t>
            </w:r>
            <w:r>
              <w:rPr>
                <w:b/>
                <w:bCs/>
                <w:noProof/>
              </w:rPr>
              <w:t>412</w:t>
            </w:r>
            <w:r>
              <w:rPr>
                <w:noProof/>
              </w:rPr>
              <w:t>, (2001), 520.</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12.</w:t>
            </w:r>
          </w:p>
        </w:tc>
        <w:tc>
          <w:tcPr>
            <w:tcW w:w="0" w:type="auto"/>
            <w:hideMark/>
          </w:tcPr>
          <w:p w:rsidR="005B76C8" w:rsidRDefault="005B76C8" w:rsidP="005B76C8">
            <w:pPr>
              <w:pStyle w:val="Bibliography"/>
              <w:spacing w:line="240" w:lineRule="auto"/>
              <w:rPr>
                <w:noProof/>
              </w:rPr>
            </w:pPr>
            <w:r>
              <w:rPr>
                <w:noProof/>
              </w:rPr>
              <w:t xml:space="preserve">E. Quartarone, P. Mustarelli, C. Tomasi, and A. Magistris, "Structure and Transport Properties of PEO-Li2-3B2O3 Mixed-Phase Composites", </w:t>
            </w:r>
            <w:r>
              <w:rPr>
                <w:i/>
                <w:iCs/>
                <w:noProof/>
              </w:rPr>
              <w:t>J. Phys. Chem</w:t>
            </w:r>
            <w:r>
              <w:rPr>
                <w:noProof/>
              </w:rPr>
              <w:t xml:space="preserve">, </w:t>
            </w:r>
            <w:r>
              <w:rPr>
                <w:b/>
                <w:bCs/>
                <w:noProof/>
              </w:rPr>
              <w:t>B 102</w:t>
            </w:r>
            <w:r>
              <w:rPr>
                <w:noProof/>
              </w:rPr>
              <w:t>, (1998), 9610-9616.</w:t>
            </w:r>
          </w:p>
          <w:p w:rsidR="005B76C8" w:rsidRPr="005B76C8" w:rsidRDefault="005B76C8" w:rsidP="005B76C8"/>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lastRenderedPageBreak/>
              <w:t>13.</w:t>
            </w:r>
          </w:p>
        </w:tc>
        <w:tc>
          <w:tcPr>
            <w:tcW w:w="0" w:type="auto"/>
            <w:hideMark/>
          </w:tcPr>
          <w:p w:rsidR="005B76C8" w:rsidRDefault="005B76C8" w:rsidP="005B76C8">
            <w:pPr>
              <w:pStyle w:val="Bibliography"/>
              <w:spacing w:line="240" w:lineRule="auto"/>
              <w:rPr>
                <w:rFonts w:eastAsiaTheme="minorEastAsia"/>
                <w:noProof/>
              </w:rPr>
            </w:pPr>
            <w:r>
              <w:rPr>
                <w:noProof/>
              </w:rPr>
              <w:t xml:space="preserve">Mohd Noor bt Siti Aminah, Ahmad Azizan, Abd. Rahman bin Mohd. Yusri, and Talib Abu Talib Ibrahim, "Solid polymeric electrolyte of poly(ethylene)oxide-50% epoxidized natural rubber-lithium triflate (PEO-ENR50-LiCF3SO3)", </w:t>
            </w:r>
            <w:r>
              <w:rPr>
                <w:i/>
                <w:iCs/>
                <w:noProof/>
              </w:rPr>
              <w:t>Natural Science</w:t>
            </w:r>
            <w:r>
              <w:rPr>
                <w:noProof/>
              </w:rPr>
              <w:t xml:space="preserve">, </w:t>
            </w:r>
            <w:r>
              <w:rPr>
                <w:b/>
                <w:bCs/>
                <w:noProof/>
              </w:rPr>
              <w:t>3</w:t>
            </w:r>
            <w:r>
              <w:rPr>
                <w:noProof/>
              </w:rPr>
              <w:t>, (2010), 190-196, doi:10.4236/ns.2010.23029.</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14.</w:t>
            </w:r>
          </w:p>
        </w:tc>
        <w:tc>
          <w:tcPr>
            <w:tcW w:w="0" w:type="auto"/>
            <w:hideMark/>
          </w:tcPr>
          <w:p w:rsidR="005B76C8" w:rsidRDefault="005B76C8" w:rsidP="005B76C8">
            <w:pPr>
              <w:pStyle w:val="Bibliography"/>
              <w:spacing w:line="240" w:lineRule="auto"/>
              <w:rPr>
                <w:rFonts w:eastAsiaTheme="minorEastAsia"/>
                <w:noProof/>
              </w:rPr>
            </w:pPr>
            <w:r>
              <w:rPr>
                <w:noProof/>
              </w:rPr>
              <w:t xml:space="preserve">Jason R. Wickham, Shawna S. York, and Nathalie M. Rocher, "Lithium Environment in Dilute Poly(ethylene oxide)/Lithium Triflate Polymer Electrolyte", </w:t>
            </w:r>
            <w:r>
              <w:rPr>
                <w:i/>
                <w:iCs/>
                <w:noProof/>
              </w:rPr>
              <w:t>J. Phys. Chem.</w:t>
            </w:r>
            <w:r>
              <w:rPr>
                <w:noProof/>
              </w:rPr>
              <w:t xml:space="preserve">, </w:t>
            </w:r>
            <w:r>
              <w:rPr>
                <w:b/>
                <w:bCs/>
                <w:noProof/>
              </w:rPr>
              <w:t>B 110</w:t>
            </w:r>
            <w:r>
              <w:rPr>
                <w:noProof/>
              </w:rPr>
              <w:t>, (2006), 4538-4541.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15.</w:t>
            </w:r>
          </w:p>
        </w:tc>
        <w:tc>
          <w:tcPr>
            <w:tcW w:w="0" w:type="auto"/>
            <w:hideMark/>
          </w:tcPr>
          <w:p w:rsidR="005B76C8" w:rsidRDefault="005B76C8" w:rsidP="005B76C8">
            <w:pPr>
              <w:pStyle w:val="Bibliography"/>
              <w:spacing w:line="240" w:lineRule="auto"/>
              <w:rPr>
                <w:rFonts w:eastAsiaTheme="minorEastAsia"/>
                <w:noProof/>
              </w:rPr>
            </w:pPr>
            <w:r>
              <w:rPr>
                <w:noProof/>
              </w:rPr>
              <w:t xml:space="preserve">Yuhua Duan and J. W. Halley, "Mechanisms of lithium transport in amorphous polyethylene oxide", </w:t>
            </w:r>
            <w:r>
              <w:rPr>
                <w:i/>
                <w:iCs/>
                <w:noProof/>
              </w:rPr>
              <w:t>The Journal of Chemical Physics</w:t>
            </w:r>
            <w:r>
              <w:rPr>
                <w:noProof/>
              </w:rPr>
              <w:t xml:space="preserve">, </w:t>
            </w:r>
            <w:r>
              <w:rPr>
                <w:b/>
                <w:bCs/>
                <w:noProof/>
              </w:rPr>
              <w:t>122</w:t>
            </w:r>
            <w:r>
              <w:rPr>
                <w:noProof/>
              </w:rPr>
              <w:t>, (2005), 054702.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16.</w:t>
            </w:r>
          </w:p>
        </w:tc>
        <w:tc>
          <w:tcPr>
            <w:tcW w:w="0" w:type="auto"/>
            <w:hideMark/>
          </w:tcPr>
          <w:p w:rsidR="005B76C8" w:rsidRDefault="005B76C8" w:rsidP="005B76C8">
            <w:pPr>
              <w:pStyle w:val="Bibliography"/>
              <w:spacing w:line="240" w:lineRule="auto"/>
              <w:rPr>
                <w:rFonts w:eastAsiaTheme="minorEastAsia"/>
                <w:noProof/>
              </w:rPr>
            </w:pPr>
            <w:r>
              <w:rPr>
                <w:noProof/>
              </w:rPr>
              <w:t xml:space="preserve">Hui Yang, Guorong V. Zhuang, and Philip N. Ross, "Thermal stability of LiPF6 salt and Li-ion battery electrolytes containing LiPF6", </w:t>
            </w:r>
            <w:r>
              <w:rPr>
                <w:i/>
                <w:iCs/>
                <w:noProof/>
              </w:rPr>
              <w:t>Journal of Power Sources</w:t>
            </w:r>
            <w:r>
              <w:rPr>
                <w:noProof/>
              </w:rPr>
              <w:t xml:space="preserve">, </w:t>
            </w:r>
            <w:r>
              <w:rPr>
                <w:b/>
                <w:bCs/>
                <w:noProof/>
              </w:rPr>
              <w:t>161</w:t>
            </w:r>
            <w:r>
              <w:rPr>
                <w:noProof/>
              </w:rPr>
              <w:t>, (2006), 573-579.</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17.</w:t>
            </w:r>
          </w:p>
        </w:tc>
        <w:tc>
          <w:tcPr>
            <w:tcW w:w="0" w:type="auto"/>
            <w:hideMark/>
          </w:tcPr>
          <w:p w:rsidR="005B76C8" w:rsidRDefault="005B76C8" w:rsidP="005B76C8">
            <w:pPr>
              <w:pStyle w:val="Bibliography"/>
              <w:spacing w:line="240" w:lineRule="auto"/>
              <w:rPr>
                <w:rFonts w:eastAsiaTheme="minorEastAsia"/>
                <w:noProof/>
              </w:rPr>
            </w:pPr>
            <w:r>
              <w:rPr>
                <w:noProof/>
              </w:rPr>
              <w:t xml:space="preserve">Anna Andersson, </w:t>
            </w:r>
            <w:r>
              <w:rPr>
                <w:i/>
                <w:iCs/>
                <w:noProof/>
              </w:rPr>
              <w:t>Surface Phenomena in Li-Ion Batteries</w:t>
            </w:r>
            <w:r>
              <w:rPr>
                <w:noProof/>
              </w:rPr>
              <w:t>, (2001).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18.</w:t>
            </w:r>
          </w:p>
        </w:tc>
        <w:tc>
          <w:tcPr>
            <w:tcW w:w="0" w:type="auto"/>
            <w:hideMark/>
          </w:tcPr>
          <w:p w:rsidR="005B76C8" w:rsidRDefault="005B76C8" w:rsidP="005B76C8">
            <w:pPr>
              <w:pStyle w:val="Bibliography"/>
              <w:spacing w:line="240" w:lineRule="auto"/>
              <w:rPr>
                <w:rFonts w:eastAsiaTheme="minorEastAsia"/>
                <w:noProof/>
              </w:rPr>
            </w:pPr>
            <w:r>
              <w:rPr>
                <w:noProof/>
              </w:rPr>
              <w:t xml:space="preserve">Peter G. Bruce, "Energy materials", </w:t>
            </w:r>
            <w:r>
              <w:rPr>
                <w:i/>
                <w:iCs/>
                <w:noProof/>
              </w:rPr>
              <w:t>Solid State Sciences</w:t>
            </w:r>
            <w:r>
              <w:rPr>
                <w:noProof/>
              </w:rPr>
              <w:t xml:space="preserve">, </w:t>
            </w:r>
            <w:r>
              <w:rPr>
                <w:b/>
                <w:bCs/>
                <w:noProof/>
              </w:rPr>
              <w:t>7</w:t>
            </w:r>
            <w:r>
              <w:rPr>
                <w:noProof/>
              </w:rPr>
              <w:t>, (2005), 1456-1463.</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19.</w:t>
            </w:r>
          </w:p>
        </w:tc>
        <w:tc>
          <w:tcPr>
            <w:tcW w:w="0" w:type="auto"/>
            <w:hideMark/>
          </w:tcPr>
          <w:p w:rsidR="005B76C8" w:rsidRDefault="005B76C8" w:rsidP="005B76C8">
            <w:pPr>
              <w:pStyle w:val="Bibliography"/>
              <w:spacing w:line="240" w:lineRule="auto"/>
              <w:rPr>
                <w:rFonts w:eastAsiaTheme="minorEastAsia"/>
                <w:noProof/>
              </w:rPr>
            </w:pPr>
            <w:r>
              <w:rPr>
                <w:noProof/>
              </w:rPr>
              <w:t xml:space="preserve">Yuki Kato, Shoichi Yokoyama, Hiromasa Ikuta, Yoshiharu Uchimoto, and Masataka Wakihara, "Thermally stable polymer electrolyte plasticized with PEG-borate ester for lithium secondary battery", </w:t>
            </w:r>
            <w:r>
              <w:rPr>
                <w:i/>
                <w:iCs/>
                <w:noProof/>
              </w:rPr>
              <w:t>Electrochemistry Communications</w:t>
            </w:r>
            <w:r>
              <w:rPr>
                <w:noProof/>
              </w:rPr>
              <w:t xml:space="preserve">, </w:t>
            </w:r>
            <w:r>
              <w:rPr>
                <w:b/>
                <w:bCs/>
                <w:noProof/>
              </w:rPr>
              <w:t>3</w:t>
            </w:r>
            <w:r>
              <w:rPr>
                <w:noProof/>
              </w:rPr>
              <w:t>, (2001), 128-130.</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20.</w:t>
            </w:r>
          </w:p>
        </w:tc>
        <w:tc>
          <w:tcPr>
            <w:tcW w:w="0" w:type="auto"/>
            <w:hideMark/>
          </w:tcPr>
          <w:p w:rsidR="005B76C8" w:rsidRDefault="005B76C8" w:rsidP="005B76C8">
            <w:pPr>
              <w:pStyle w:val="Bibliography"/>
              <w:spacing w:line="240" w:lineRule="auto"/>
              <w:rPr>
                <w:rFonts w:eastAsiaTheme="minorEastAsia"/>
                <w:noProof/>
              </w:rPr>
            </w:pPr>
            <w:r>
              <w:rPr>
                <w:noProof/>
              </w:rPr>
              <w:t xml:space="preserve">A. Manuel Stephan, "Review on gel polymer electrolytes for lithium batteries", </w:t>
            </w:r>
            <w:r>
              <w:rPr>
                <w:i/>
                <w:iCs/>
                <w:noProof/>
              </w:rPr>
              <w:t>European Polymer Journal</w:t>
            </w:r>
            <w:r>
              <w:rPr>
                <w:noProof/>
              </w:rPr>
              <w:t xml:space="preserve">, </w:t>
            </w:r>
            <w:r>
              <w:rPr>
                <w:b/>
                <w:bCs/>
                <w:noProof/>
              </w:rPr>
              <w:t>42</w:t>
            </w:r>
            <w:r>
              <w:rPr>
                <w:noProof/>
              </w:rPr>
              <w:t>, (2006), 0021-0042.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21.</w:t>
            </w:r>
          </w:p>
        </w:tc>
        <w:tc>
          <w:tcPr>
            <w:tcW w:w="0" w:type="auto"/>
            <w:hideMark/>
          </w:tcPr>
          <w:p w:rsidR="005B76C8" w:rsidRDefault="005B76C8" w:rsidP="005B76C8">
            <w:pPr>
              <w:pStyle w:val="Bibliography"/>
              <w:spacing w:line="240" w:lineRule="auto"/>
              <w:rPr>
                <w:rFonts w:eastAsiaTheme="minorEastAsia"/>
                <w:noProof/>
              </w:rPr>
            </w:pPr>
            <w:r>
              <w:rPr>
                <w:noProof/>
              </w:rPr>
              <w:t xml:space="preserve">Chun-Mo Yang, Hyung-Sun Kim, Byung-Ki Na, Kyong-Soo Kum, and Byung Won Cho, "Gel-type polymer electrolytes with different types of ceramic fillers and lithium salts for lithium-ion polymer batteries", </w:t>
            </w:r>
            <w:r>
              <w:rPr>
                <w:i/>
                <w:iCs/>
                <w:noProof/>
              </w:rPr>
              <w:t>Power Sources</w:t>
            </w:r>
            <w:r>
              <w:rPr>
                <w:noProof/>
              </w:rPr>
              <w:t xml:space="preserve">, </w:t>
            </w:r>
            <w:r>
              <w:rPr>
                <w:b/>
                <w:bCs/>
                <w:noProof/>
              </w:rPr>
              <w:t>156</w:t>
            </w:r>
            <w:r>
              <w:rPr>
                <w:noProof/>
              </w:rPr>
              <w:t>, (2006), 574-580.</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22.</w:t>
            </w:r>
          </w:p>
        </w:tc>
        <w:tc>
          <w:tcPr>
            <w:tcW w:w="0" w:type="auto"/>
            <w:hideMark/>
          </w:tcPr>
          <w:p w:rsidR="005B76C8" w:rsidRDefault="005B76C8" w:rsidP="005B76C8">
            <w:pPr>
              <w:pStyle w:val="Bibliography"/>
              <w:spacing w:line="240" w:lineRule="auto"/>
              <w:rPr>
                <w:rFonts w:eastAsiaTheme="minorEastAsia"/>
                <w:noProof/>
              </w:rPr>
            </w:pPr>
            <w:r>
              <w:rPr>
                <w:noProof/>
              </w:rPr>
              <w:t xml:space="preserve">F. Croce, L. Persi, F. Ronci, and B. Scrosati, "Nanocomposite polymer electrolytes and their impact on the lithium battery technology", </w:t>
            </w:r>
            <w:r>
              <w:rPr>
                <w:i/>
                <w:iCs/>
                <w:noProof/>
              </w:rPr>
              <w:t>Solid State Ionics</w:t>
            </w:r>
            <w:r>
              <w:rPr>
                <w:noProof/>
              </w:rPr>
              <w:t xml:space="preserve">, </w:t>
            </w:r>
            <w:r>
              <w:rPr>
                <w:b/>
                <w:bCs/>
                <w:noProof/>
              </w:rPr>
              <w:t>135</w:t>
            </w:r>
            <w:r>
              <w:rPr>
                <w:noProof/>
              </w:rPr>
              <w:t>, (2000), 47-52.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23.</w:t>
            </w:r>
          </w:p>
        </w:tc>
        <w:tc>
          <w:tcPr>
            <w:tcW w:w="0" w:type="auto"/>
            <w:hideMark/>
          </w:tcPr>
          <w:p w:rsidR="005B76C8" w:rsidRDefault="005B76C8" w:rsidP="005B76C8">
            <w:pPr>
              <w:pStyle w:val="Bibliography"/>
              <w:spacing w:line="240" w:lineRule="auto"/>
              <w:rPr>
                <w:rFonts w:eastAsiaTheme="minorEastAsia"/>
                <w:noProof/>
              </w:rPr>
            </w:pPr>
            <w:r>
              <w:rPr>
                <w:noProof/>
              </w:rPr>
              <w:t xml:space="preserve">Vo Van Hoang, "Molecular Dynamics Simulation of Amorphous SiO2 Nanoparticles", </w:t>
            </w:r>
            <w:r>
              <w:rPr>
                <w:i/>
                <w:iCs/>
                <w:noProof/>
              </w:rPr>
              <w:t>J. Phys. Chem.</w:t>
            </w:r>
            <w:r>
              <w:rPr>
                <w:noProof/>
              </w:rPr>
              <w:t xml:space="preserve">, </w:t>
            </w:r>
            <w:r>
              <w:rPr>
                <w:b/>
                <w:bCs/>
                <w:noProof/>
              </w:rPr>
              <w:t>B 111</w:t>
            </w:r>
            <w:r>
              <w:rPr>
                <w:noProof/>
              </w:rPr>
              <w:t>, (2007), 12649-12656.</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24.</w:t>
            </w:r>
          </w:p>
        </w:tc>
        <w:tc>
          <w:tcPr>
            <w:tcW w:w="0" w:type="auto"/>
            <w:hideMark/>
          </w:tcPr>
          <w:p w:rsidR="005B76C8" w:rsidRDefault="005B76C8" w:rsidP="005B76C8">
            <w:pPr>
              <w:pStyle w:val="Bibliography"/>
              <w:spacing w:line="240" w:lineRule="auto"/>
              <w:rPr>
                <w:rFonts w:eastAsiaTheme="minorEastAsia"/>
                <w:noProof/>
              </w:rPr>
            </w:pPr>
            <w:r>
              <w:rPr>
                <w:noProof/>
              </w:rPr>
              <w:t xml:space="preserve">T.H. Joykumar Singh and S. V. Bhat, "Morphology and conductivity studies of a new solid polymer electrolyte: (PEG)xLiClO4", </w:t>
            </w:r>
            <w:r>
              <w:rPr>
                <w:i/>
                <w:iCs/>
                <w:noProof/>
              </w:rPr>
              <w:t>Bull. Master. Sci.</w:t>
            </w:r>
            <w:r>
              <w:rPr>
                <w:noProof/>
              </w:rPr>
              <w:t xml:space="preserve">, </w:t>
            </w:r>
            <w:r>
              <w:rPr>
                <w:b/>
                <w:bCs/>
                <w:noProof/>
              </w:rPr>
              <w:t>26</w:t>
            </w:r>
            <w:r>
              <w:rPr>
                <w:noProof/>
              </w:rPr>
              <w:t>, (2003), 707-714.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25.</w:t>
            </w:r>
          </w:p>
        </w:tc>
        <w:tc>
          <w:tcPr>
            <w:tcW w:w="0" w:type="auto"/>
            <w:hideMark/>
          </w:tcPr>
          <w:p w:rsidR="005B76C8" w:rsidRDefault="005B76C8" w:rsidP="005B76C8">
            <w:pPr>
              <w:pStyle w:val="Bibliography"/>
              <w:spacing w:line="240" w:lineRule="auto"/>
              <w:rPr>
                <w:noProof/>
              </w:rPr>
            </w:pPr>
            <w:r>
              <w:rPr>
                <w:noProof/>
              </w:rPr>
              <w:t xml:space="preserve">L. J. A. Siqueira and M. C. C. Ribeiro, "Molecular dynamics simulation of the polymer electrolyte poly(ethylene oxide) / LiClO4. I. Structural properties", </w:t>
            </w:r>
            <w:r>
              <w:rPr>
                <w:i/>
                <w:iCs/>
                <w:noProof/>
              </w:rPr>
              <w:t>The Journal of Chemical Physics</w:t>
            </w:r>
            <w:r>
              <w:rPr>
                <w:noProof/>
              </w:rPr>
              <w:t xml:space="preserve">, </w:t>
            </w:r>
            <w:r>
              <w:rPr>
                <w:b/>
                <w:bCs/>
                <w:noProof/>
              </w:rPr>
              <w:t>122</w:t>
            </w:r>
            <w:r>
              <w:rPr>
                <w:noProof/>
              </w:rPr>
              <w:t>, (2005), 194911.</w:t>
            </w:r>
          </w:p>
          <w:p w:rsidR="005B76C8" w:rsidRPr="005B76C8" w:rsidRDefault="005B76C8" w:rsidP="005B76C8"/>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lastRenderedPageBreak/>
              <w:t>26.</w:t>
            </w:r>
          </w:p>
        </w:tc>
        <w:tc>
          <w:tcPr>
            <w:tcW w:w="0" w:type="auto"/>
            <w:hideMark/>
          </w:tcPr>
          <w:p w:rsidR="005B76C8" w:rsidRDefault="005B76C8" w:rsidP="005B76C8">
            <w:pPr>
              <w:pStyle w:val="Bibliography"/>
              <w:spacing w:line="240" w:lineRule="auto"/>
              <w:rPr>
                <w:rFonts w:eastAsiaTheme="minorEastAsia"/>
                <w:noProof/>
              </w:rPr>
            </w:pPr>
            <w:r>
              <w:rPr>
                <w:noProof/>
              </w:rPr>
              <w:t xml:space="preserve">Raymond C. Rowe, Paul J. Sheskey, and Marian E. Quinn, </w:t>
            </w:r>
            <w:r>
              <w:rPr>
                <w:i/>
                <w:iCs/>
                <w:noProof/>
              </w:rPr>
              <w:t>Handbook of Pharmaceutical Excipients</w:t>
            </w:r>
            <w:r>
              <w:rPr>
                <w:noProof/>
              </w:rPr>
              <w:t>, (sixth edition 2009).</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27.</w:t>
            </w:r>
          </w:p>
        </w:tc>
        <w:tc>
          <w:tcPr>
            <w:tcW w:w="0" w:type="auto"/>
            <w:hideMark/>
          </w:tcPr>
          <w:p w:rsidR="005B76C8" w:rsidRDefault="005B76C8" w:rsidP="005B76C8">
            <w:pPr>
              <w:pStyle w:val="Bibliography"/>
              <w:spacing w:line="240" w:lineRule="auto"/>
              <w:rPr>
                <w:rFonts w:eastAsiaTheme="minorEastAsia"/>
                <w:noProof/>
              </w:rPr>
            </w:pPr>
            <w:r>
              <w:rPr>
                <w:noProof/>
              </w:rPr>
              <w:t xml:space="preserve">P. T. Boinske, L. Curtiss, J. W. Halley, B. Lin, and A. Sutjinto, "Lithium ion transport in a model of amorphous polyethylene oxide", </w:t>
            </w:r>
            <w:r>
              <w:rPr>
                <w:i/>
                <w:iCs/>
                <w:noProof/>
              </w:rPr>
              <w:t>Computer-Aided Materials Design</w:t>
            </w:r>
            <w:r>
              <w:rPr>
                <w:noProof/>
              </w:rPr>
              <w:t xml:space="preserve">, </w:t>
            </w:r>
            <w:r>
              <w:rPr>
                <w:b/>
                <w:bCs/>
                <w:noProof/>
              </w:rPr>
              <w:t>3</w:t>
            </w:r>
            <w:r>
              <w:rPr>
                <w:noProof/>
              </w:rPr>
              <w:t>, (1996), 385-402.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28.</w:t>
            </w:r>
          </w:p>
        </w:tc>
        <w:tc>
          <w:tcPr>
            <w:tcW w:w="0" w:type="auto"/>
            <w:hideMark/>
          </w:tcPr>
          <w:p w:rsidR="005B76C8" w:rsidRDefault="005B76C8" w:rsidP="005B76C8">
            <w:pPr>
              <w:pStyle w:val="Bibliography"/>
              <w:spacing w:line="240" w:lineRule="auto"/>
              <w:rPr>
                <w:rFonts w:eastAsiaTheme="minorEastAsia"/>
                <w:noProof/>
              </w:rPr>
            </w:pPr>
            <w:r>
              <w:rPr>
                <w:noProof/>
              </w:rPr>
              <w:t xml:space="preserve">Andrew Ritchie and Wilmont Howard, "Recent developments and likely advances in lithium-ion batteries", </w:t>
            </w:r>
            <w:r>
              <w:rPr>
                <w:i/>
                <w:iCs/>
                <w:noProof/>
              </w:rPr>
              <w:t>Power Sources</w:t>
            </w:r>
            <w:r>
              <w:rPr>
                <w:noProof/>
              </w:rPr>
              <w:t xml:space="preserve">, </w:t>
            </w:r>
            <w:r>
              <w:rPr>
                <w:b/>
                <w:bCs/>
                <w:noProof/>
              </w:rPr>
              <w:t>162</w:t>
            </w:r>
            <w:r>
              <w:rPr>
                <w:noProof/>
              </w:rPr>
              <w:t>, (2005), 809-812.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29.</w:t>
            </w:r>
          </w:p>
        </w:tc>
        <w:tc>
          <w:tcPr>
            <w:tcW w:w="0" w:type="auto"/>
            <w:hideMark/>
          </w:tcPr>
          <w:p w:rsidR="005B76C8" w:rsidRDefault="005B76C8" w:rsidP="005B76C8">
            <w:pPr>
              <w:pStyle w:val="Bibliography"/>
              <w:spacing w:line="240" w:lineRule="auto"/>
              <w:rPr>
                <w:rFonts w:eastAsiaTheme="minorEastAsia"/>
                <w:noProof/>
              </w:rPr>
            </w:pPr>
            <w:r>
              <w:rPr>
                <w:noProof/>
              </w:rPr>
              <w:t xml:space="preserve">L. T. Costa and M. C. C. Ribeiro, "Molecular dynamics simulation of polymer electrolytes based on poly(ethylene oxide) and ionic liquids. II. Dynamical properties", </w:t>
            </w:r>
            <w:r>
              <w:rPr>
                <w:i/>
                <w:iCs/>
                <w:noProof/>
              </w:rPr>
              <w:t>The Journal of Chemical Physics</w:t>
            </w:r>
            <w:r>
              <w:rPr>
                <w:noProof/>
              </w:rPr>
              <w:t xml:space="preserve">, </w:t>
            </w:r>
            <w:r>
              <w:rPr>
                <w:b/>
                <w:bCs/>
                <w:noProof/>
              </w:rPr>
              <w:t>127</w:t>
            </w:r>
            <w:r>
              <w:rPr>
                <w:noProof/>
              </w:rPr>
              <w:t>, (2007), 164901.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30.</w:t>
            </w:r>
          </w:p>
        </w:tc>
        <w:tc>
          <w:tcPr>
            <w:tcW w:w="0" w:type="auto"/>
            <w:hideMark/>
          </w:tcPr>
          <w:p w:rsidR="005B76C8" w:rsidRDefault="005B76C8" w:rsidP="005B76C8">
            <w:pPr>
              <w:pStyle w:val="Bibliography"/>
              <w:spacing w:line="240" w:lineRule="auto"/>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w:t>
            </w:r>
            <w:r>
              <w:rPr>
                <w:i/>
                <w:iCs/>
                <w:noProof/>
              </w:rPr>
              <w:t>Electrochemica Acta</w:t>
            </w:r>
            <w:r>
              <w:rPr>
                <w:noProof/>
              </w:rPr>
              <w:t xml:space="preserve">, </w:t>
            </w:r>
            <w:r>
              <w:rPr>
                <w:b/>
                <w:bCs/>
                <w:noProof/>
              </w:rPr>
              <w:t>53</w:t>
            </w:r>
            <w:r>
              <w:rPr>
                <w:noProof/>
              </w:rPr>
              <w:t>, (2007), 1503-1511.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31.</w:t>
            </w:r>
          </w:p>
        </w:tc>
        <w:tc>
          <w:tcPr>
            <w:tcW w:w="0" w:type="auto"/>
            <w:hideMark/>
          </w:tcPr>
          <w:p w:rsidR="005B76C8" w:rsidRDefault="005B76C8" w:rsidP="005B76C8">
            <w:pPr>
              <w:pStyle w:val="Bibliography"/>
              <w:spacing w:line="240" w:lineRule="auto"/>
              <w:rPr>
                <w:rFonts w:eastAsiaTheme="minorEastAsia"/>
                <w:noProof/>
              </w:rPr>
            </w:pPr>
            <w:r>
              <w:rPr>
                <w:i/>
                <w:iCs/>
                <w:noProof/>
              </w:rPr>
              <w:t>http://en.wikipedia.org/wiki/Polyethylene</w:t>
            </w:r>
            <w:r>
              <w:rPr>
                <w:noProof/>
              </w:rPr>
              <w:t>.</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32.</w:t>
            </w:r>
          </w:p>
        </w:tc>
        <w:tc>
          <w:tcPr>
            <w:tcW w:w="0" w:type="auto"/>
            <w:hideMark/>
          </w:tcPr>
          <w:p w:rsidR="005B76C8" w:rsidRDefault="005B76C8" w:rsidP="005B76C8">
            <w:pPr>
              <w:pStyle w:val="Bibliography"/>
              <w:spacing w:line="240" w:lineRule="auto"/>
              <w:rPr>
                <w:rFonts w:eastAsiaTheme="minorEastAsia"/>
                <w:noProof/>
              </w:rPr>
            </w:pPr>
            <w:r>
              <w:rPr>
                <w:noProof/>
              </w:rPr>
              <w:t xml:space="preserve">X. Zhang, Z. Li, H. Yang, and C. C. Sun, "Molecular Dynamics Simulations on Crystallization of Polyethylene Copolymer with Precisely Controlled Branching", </w:t>
            </w:r>
            <w:r>
              <w:rPr>
                <w:i/>
                <w:iCs/>
                <w:noProof/>
              </w:rPr>
              <w:t>Macromolecules</w:t>
            </w:r>
            <w:r>
              <w:rPr>
                <w:noProof/>
              </w:rPr>
              <w:t xml:space="preserve">, </w:t>
            </w:r>
            <w:r>
              <w:rPr>
                <w:b/>
                <w:bCs/>
                <w:noProof/>
              </w:rPr>
              <w:t>37</w:t>
            </w:r>
            <w:r>
              <w:rPr>
                <w:noProof/>
              </w:rPr>
              <w:t>, (2004), 7393-7400.</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33.</w:t>
            </w:r>
          </w:p>
        </w:tc>
        <w:tc>
          <w:tcPr>
            <w:tcW w:w="0" w:type="auto"/>
            <w:hideMark/>
          </w:tcPr>
          <w:p w:rsidR="005B76C8" w:rsidRDefault="005B76C8" w:rsidP="005B76C8">
            <w:pPr>
              <w:pStyle w:val="Bibliography"/>
              <w:spacing w:line="240" w:lineRule="auto"/>
              <w:rPr>
                <w:rFonts w:eastAsiaTheme="minorEastAsia"/>
                <w:noProof/>
              </w:rPr>
            </w:pPr>
            <w:r>
              <w:rPr>
                <w:noProof/>
              </w:rPr>
              <w:t xml:space="preserve">J. W. Halley and Y. Duan, "Role of atomic level simulation in development of batteries", </w:t>
            </w:r>
            <w:r>
              <w:rPr>
                <w:i/>
                <w:iCs/>
                <w:noProof/>
              </w:rPr>
              <w:t>Journal of Power Sources</w:t>
            </w:r>
            <w:r>
              <w:rPr>
                <w:noProof/>
              </w:rPr>
              <w:t xml:space="preserve">, </w:t>
            </w:r>
            <w:r>
              <w:rPr>
                <w:b/>
                <w:bCs/>
                <w:noProof/>
              </w:rPr>
              <w:t>110</w:t>
            </w:r>
            <w:r>
              <w:rPr>
                <w:noProof/>
              </w:rPr>
              <w:t>, (2002), 383-388.</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34.</w:t>
            </w:r>
          </w:p>
        </w:tc>
        <w:tc>
          <w:tcPr>
            <w:tcW w:w="0" w:type="auto"/>
            <w:hideMark/>
          </w:tcPr>
          <w:p w:rsidR="005B76C8" w:rsidRDefault="005B76C8" w:rsidP="005B76C8">
            <w:pPr>
              <w:pStyle w:val="Bibliography"/>
              <w:spacing w:line="240" w:lineRule="auto"/>
              <w:rPr>
                <w:rFonts w:eastAsiaTheme="minorEastAsia"/>
                <w:noProof/>
              </w:rPr>
            </w:pPr>
            <w:r>
              <w:rPr>
                <w:noProof/>
              </w:rPr>
              <w:t xml:space="preserve">W. Smith, M. Leslie, and T. R. Forester, </w:t>
            </w:r>
            <w:r>
              <w:rPr>
                <w:i/>
                <w:iCs/>
                <w:noProof/>
              </w:rPr>
              <w:t>The DL POLY 2 User Manual</w:t>
            </w:r>
            <w:r>
              <w:rPr>
                <w:noProof/>
              </w:rPr>
              <w:t>Daresbury Laboratory,England, (2004).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35.</w:t>
            </w:r>
          </w:p>
        </w:tc>
        <w:tc>
          <w:tcPr>
            <w:tcW w:w="0" w:type="auto"/>
            <w:hideMark/>
          </w:tcPr>
          <w:p w:rsidR="005B76C8" w:rsidRDefault="005B76C8" w:rsidP="005B76C8">
            <w:pPr>
              <w:pStyle w:val="Bibliography"/>
              <w:spacing w:line="240" w:lineRule="auto"/>
              <w:rPr>
                <w:rFonts w:eastAsiaTheme="minorEastAsia"/>
                <w:noProof/>
              </w:rPr>
            </w:pPr>
            <w:r>
              <w:rPr>
                <w:noProof/>
              </w:rPr>
              <w:t xml:space="preserve">K. Ohno, K. Esfarjani, and Y. Kawazoe, </w:t>
            </w:r>
            <w:r>
              <w:rPr>
                <w:i/>
                <w:iCs/>
                <w:noProof/>
              </w:rPr>
              <w:t>Computational Materials Science</w:t>
            </w:r>
            <w:r>
              <w:rPr>
                <w:noProof/>
              </w:rPr>
              <w:t>, (1999).</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36.</w:t>
            </w:r>
          </w:p>
        </w:tc>
        <w:tc>
          <w:tcPr>
            <w:tcW w:w="0" w:type="auto"/>
            <w:hideMark/>
          </w:tcPr>
          <w:p w:rsidR="005B76C8" w:rsidRDefault="005B76C8" w:rsidP="005B76C8">
            <w:pPr>
              <w:pStyle w:val="Bibliography"/>
              <w:spacing w:line="240" w:lineRule="auto"/>
              <w:rPr>
                <w:rFonts w:eastAsiaTheme="minorEastAsia"/>
                <w:noProof/>
              </w:rPr>
            </w:pPr>
            <w:r>
              <w:rPr>
                <w:noProof/>
              </w:rPr>
              <w:t>Jaanus Karo, "The Role of Chide-Chains in Polymer Electrolytes for Batteries and Fuel Cells", , (Uppsala, Universitet, 2009).</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37.</w:t>
            </w:r>
          </w:p>
        </w:tc>
        <w:tc>
          <w:tcPr>
            <w:tcW w:w="0" w:type="auto"/>
            <w:hideMark/>
          </w:tcPr>
          <w:p w:rsidR="005B76C8" w:rsidRDefault="005B76C8" w:rsidP="005B76C8">
            <w:pPr>
              <w:pStyle w:val="Bibliography"/>
              <w:spacing w:line="240" w:lineRule="auto"/>
              <w:rPr>
                <w:rFonts w:eastAsiaTheme="minorEastAsia"/>
                <w:noProof/>
              </w:rPr>
            </w:pPr>
            <w:r>
              <w:rPr>
                <w:noProof/>
              </w:rPr>
              <w:t>Daniel Brandell, "Understanding Ionic Conductivity in Crystalline Polymer Electrolytes", , (Uppsala, Universitet, 2005).</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38.</w:t>
            </w:r>
          </w:p>
        </w:tc>
        <w:tc>
          <w:tcPr>
            <w:tcW w:w="0" w:type="auto"/>
            <w:hideMark/>
          </w:tcPr>
          <w:p w:rsidR="005B76C8" w:rsidRDefault="005B76C8" w:rsidP="005B76C8">
            <w:pPr>
              <w:pStyle w:val="Bibliography"/>
              <w:spacing w:line="240" w:lineRule="auto"/>
              <w:rPr>
                <w:noProof/>
              </w:rPr>
            </w:pPr>
            <w:r>
              <w:rPr>
                <w:noProof/>
              </w:rPr>
              <w:t xml:space="preserve">A. Hektor, M. K. Klintenberg, A. Aabloo, and J. O. Thomas, "Molecular dynamics simulation of the effect of a side chain on the dynamics of the amorphous LiPF6–PEO system", </w:t>
            </w:r>
            <w:r>
              <w:rPr>
                <w:i/>
                <w:iCs/>
                <w:noProof/>
              </w:rPr>
              <w:t>J. Mater. Chem</w:t>
            </w:r>
            <w:r>
              <w:rPr>
                <w:noProof/>
              </w:rPr>
              <w:t xml:space="preserve">, </w:t>
            </w:r>
            <w:r>
              <w:rPr>
                <w:b/>
                <w:bCs/>
                <w:noProof/>
              </w:rPr>
              <w:t>13</w:t>
            </w:r>
            <w:r>
              <w:rPr>
                <w:noProof/>
              </w:rPr>
              <w:t>, (2003), 214-218.</w:t>
            </w:r>
          </w:p>
          <w:p w:rsidR="005B76C8" w:rsidRPr="005B76C8" w:rsidRDefault="005B76C8" w:rsidP="005B76C8"/>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lastRenderedPageBreak/>
              <w:t>39.</w:t>
            </w:r>
          </w:p>
        </w:tc>
        <w:tc>
          <w:tcPr>
            <w:tcW w:w="0" w:type="auto"/>
            <w:hideMark/>
          </w:tcPr>
          <w:p w:rsidR="005B76C8" w:rsidRDefault="005B76C8" w:rsidP="005B76C8">
            <w:pPr>
              <w:pStyle w:val="Bibliography"/>
              <w:spacing w:line="240" w:lineRule="auto"/>
              <w:rPr>
                <w:rFonts w:eastAsiaTheme="minorEastAsia"/>
                <w:noProof/>
              </w:rPr>
            </w:pPr>
            <w:r>
              <w:rPr>
                <w:noProof/>
              </w:rPr>
              <w:t xml:space="preserve">Jaanus Karo, Alvo Aabloo, John O. Thomas, and Daniel Brandell, "Molecular Dynamics Modeling of Proton Transport in Nafion and Hyflon Nanostructures", </w:t>
            </w:r>
            <w:r>
              <w:rPr>
                <w:i/>
                <w:iCs/>
                <w:noProof/>
              </w:rPr>
              <w:t>J. Phus. Chem.</w:t>
            </w:r>
            <w:r>
              <w:rPr>
                <w:noProof/>
              </w:rPr>
              <w:t xml:space="preserve">, </w:t>
            </w:r>
            <w:r>
              <w:rPr>
                <w:b/>
                <w:bCs/>
                <w:noProof/>
              </w:rPr>
              <w:t>B 114</w:t>
            </w:r>
            <w:r>
              <w:rPr>
                <w:noProof/>
              </w:rPr>
              <w:t>, (2010), 6056-6064.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40.</w:t>
            </w:r>
          </w:p>
        </w:tc>
        <w:tc>
          <w:tcPr>
            <w:tcW w:w="0" w:type="auto"/>
            <w:hideMark/>
          </w:tcPr>
          <w:p w:rsidR="005B76C8" w:rsidRDefault="005B76C8" w:rsidP="005B76C8">
            <w:pPr>
              <w:pStyle w:val="Bibliography"/>
              <w:spacing w:line="240" w:lineRule="auto"/>
              <w:rPr>
                <w:rFonts w:eastAsiaTheme="minorEastAsia"/>
                <w:noProof/>
              </w:rPr>
            </w:pPr>
            <w:r>
              <w:rPr>
                <w:noProof/>
              </w:rPr>
              <w:t>A. A. Askadskii, "Computational Materials Science of Polymers", , (Cambridge internationl sience publishing 2003).</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41.</w:t>
            </w:r>
          </w:p>
        </w:tc>
        <w:tc>
          <w:tcPr>
            <w:tcW w:w="0" w:type="auto"/>
            <w:hideMark/>
          </w:tcPr>
          <w:p w:rsidR="005B76C8" w:rsidRDefault="005B76C8" w:rsidP="005B76C8">
            <w:pPr>
              <w:pStyle w:val="Bibliography"/>
              <w:spacing w:line="240" w:lineRule="auto"/>
              <w:rPr>
                <w:rFonts w:eastAsiaTheme="minorEastAsia"/>
                <w:noProof/>
              </w:rPr>
            </w:pPr>
            <w:r>
              <w:rPr>
                <w:noProof/>
              </w:rPr>
              <w:t xml:space="preserve">Oleg Borodin and G. D. Smith, "Molecular Dynamics Simulations of Comb-Branched Poly(epoxide ether)-Based Polymer Electrolytes", </w:t>
            </w:r>
            <w:r>
              <w:rPr>
                <w:i/>
                <w:iCs/>
                <w:noProof/>
              </w:rPr>
              <w:t>Macromolecules</w:t>
            </w:r>
            <w:r>
              <w:rPr>
                <w:noProof/>
              </w:rPr>
              <w:t xml:space="preserve">, </w:t>
            </w:r>
            <w:r>
              <w:rPr>
                <w:b/>
                <w:bCs/>
                <w:noProof/>
              </w:rPr>
              <w:t>40</w:t>
            </w:r>
            <w:r>
              <w:rPr>
                <w:noProof/>
              </w:rPr>
              <w:t>, (2007), 1252-1258.</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42.</w:t>
            </w:r>
          </w:p>
        </w:tc>
        <w:tc>
          <w:tcPr>
            <w:tcW w:w="0" w:type="auto"/>
            <w:hideMark/>
          </w:tcPr>
          <w:p w:rsidR="005B76C8" w:rsidRDefault="005B76C8" w:rsidP="005B76C8">
            <w:pPr>
              <w:pStyle w:val="Bibliography"/>
              <w:spacing w:line="240" w:lineRule="auto"/>
              <w:rPr>
                <w:rFonts w:eastAsiaTheme="minorEastAsia"/>
                <w:noProof/>
              </w:rPr>
            </w:pPr>
            <w:r>
              <w:rPr>
                <w:noProof/>
              </w:rPr>
              <w:t xml:space="preserve">Goundla Srinivas, William C. Swope, and Jed W. Pitera, "Interfacial fluctuation of Block Copolymers: A Coarse-Grain Molecular Dynamics simulation Study", </w:t>
            </w:r>
            <w:r>
              <w:rPr>
                <w:i/>
                <w:iCs/>
                <w:noProof/>
              </w:rPr>
              <w:t>J. Phys. Chem.</w:t>
            </w:r>
            <w:r>
              <w:rPr>
                <w:noProof/>
              </w:rPr>
              <w:t xml:space="preserve">, </w:t>
            </w:r>
            <w:r>
              <w:rPr>
                <w:b/>
                <w:bCs/>
                <w:noProof/>
              </w:rPr>
              <w:t>B 111</w:t>
            </w:r>
            <w:r>
              <w:rPr>
                <w:noProof/>
              </w:rPr>
              <w:t>, (2007), 13734-13742.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43.</w:t>
            </w:r>
          </w:p>
        </w:tc>
        <w:tc>
          <w:tcPr>
            <w:tcW w:w="0" w:type="auto"/>
            <w:hideMark/>
          </w:tcPr>
          <w:p w:rsidR="005B76C8" w:rsidRDefault="005B76C8" w:rsidP="005B76C8">
            <w:pPr>
              <w:pStyle w:val="Bibliography"/>
              <w:spacing w:line="240" w:lineRule="auto"/>
              <w:rPr>
                <w:rFonts w:eastAsiaTheme="minorEastAsia"/>
                <w:noProof/>
              </w:rPr>
            </w:pPr>
            <w:r>
              <w:rPr>
                <w:noProof/>
              </w:rPr>
              <w:t xml:space="preserve">J. Karo, A. Aabloo, and J. O. Thomas, "A molecular dynamics study of the effect of side-chains on mobility in a polymer host", </w:t>
            </w:r>
            <w:r>
              <w:rPr>
                <w:i/>
                <w:iCs/>
                <w:noProof/>
              </w:rPr>
              <w:t>Solid State ionics</w:t>
            </w:r>
            <w:r>
              <w:rPr>
                <w:noProof/>
              </w:rPr>
              <w:t xml:space="preserve">, </w:t>
            </w:r>
            <w:r>
              <w:rPr>
                <w:b/>
                <w:bCs/>
                <w:noProof/>
              </w:rPr>
              <w:t>176</w:t>
            </w:r>
            <w:r>
              <w:rPr>
                <w:noProof/>
              </w:rPr>
              <w:t>, (2005), 3041-3044.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44.</w:t>
            </w:r>
          </w:p>
        </w:tc>
        <w:tc>
          <w:tcPr>
            <w:tcW w:w="0" w:type="auto"/>
            <w:hideMark/>
          </w:tcPr>
          <w:p w:rsidR="005B76C8" w:rsidRDefault="005B76C8" w:rsidP="005B76C8">
            <w:pPr>
              <w:pStyle w:val="Bibliography"/>
              <w:spacing w:line="240" w:lineRule="auto"/>
              <w:rPr>
                <w:rFonts w:eastAsiaTheme="minorEastAsia"/>
                <w:noProof/>
              </w:rPr>
            </w:pPr>
            <w:r>
              <w:rPr>
                <w:noProof/>
              </w:rPr>
              <w:t xml:space="preserve">Jaanus Karo and Daniel Brandell, "A Molecular Dynamics Study of the influence of side-chain length and spacing on lithium mobility in non-crystalline LiPF6·PEOx; x=10 and 30", </w:t>
            </w:r>
            <w:r>
              <w:rPr>
                <w:i/>
                <w:iCs/>
                <w:noProof/>
              </w:rPr>
              <w:t>Solid State Ionics</w:t>
            </w:r>
            <w:r>
              <w:rPr>
                <w:noProof/>
              </w:rPr>
              <w:t xml:space="preserve">, </w:t>
            </w:r>
            <w:r>
              <w:rPr>
                <w:b/>
                <w:bCs/>
                <w:noProof/>
              </w:rPr>
              <w:t>180</w:t>
            </w:r>
            <w:r>
              <w:rPr>
                <w:noProof/>
              </w:rPr>
              <w:t>, (2009), 1272-1284.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45.</w:t>
            </w:r>
          </w:p>
        </w:tc>
        <w:tc>
          <w:tcPr>
            <w:tcW w:w="0" w:type="auto"/>
            <w:hideMark/>
          </w:tcPr>
          <w:p w:rsidR="005B76C8" w:rsidRDefault="005B76C8" w:rsidP="005B76C8">
            <w:pPr>
              <w:pStyle w:val="Bibliography"/>
              <w:spacing w:line="240" w:lineRule="auto"/>
              <w:rPr>
                <w:rFonts w:eastAsiaTheme="minorEastAsia"/>
                <w:noProof/>
              </w:rPr>
            </w:pPr>
            <w:r>
              <w:rPr>
                <w:noProof/>
              </w:rPr>
              <w:t xml:space="preserve">E. Soolo, J. Karo, H. Kasemägi, M. Kruusamaa, and A. Aabloo, "Application of the Monte Carlo method for creation of initial models of EAP molecules for Molecular Dynamics simulation", </w:t>
            </w:r>
            <w:r>
              <w:rPr>
                <w:i/>
                <w:iCs/>
                <w:noProof/>
              </w:rPr>
              <w:t>Proceedings of SPIE</w:t>
            </w:r>
            <w:r>
              <w:rPr>
                <w:noProof/>
              </w:rPr>
              <w:t xml:space="preserve">, </w:t>
            </w:r>
            <w:r>
              <w:rPr>
                <w:b/>
                <w:bCs/>
                <w:noProof/>
              </w:rPr>
              <w:t>6168</w:t>
            </w:r>
            <w:r>
              <w:rPr>
                <w:noProof/>
              </w:rPr>
              <w:t>, (2006), 61682A-2.</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46.</w:t>
            </w:r>
          </w:p>
        </w:tc>
        <w:tc>
          <w:tcPr>
            <w:tcW w:w="0" w:type="auto"/>
            <w:hideMark/>
          </w:tcPr>
          <w:p w:rsidR="005B76C8" w:rsidRDefault="005B76C8" w:rsidP="005B76C8">
            <w:pPr>
              <w:pStyle w:val="Bibliography"/>
              <w:spacing w:line="240" w:lineRule="auto"/>
              <w:rPr>
                <w:rFonts w:eastAsiaTheme="minorEastAsia"/>
                <w:noProof/>
              </w:rPr>
            </w:pPr>
            <w:r>
              <w:rPr>
                <w:i/>
                <w:iCs/>
                <w:noProof/>
              </w:rPr>
              <w:t>http://www.webelements.com</w:t>
            </w:r>
            <w:r>
              <w:rPr>
                <w:noProof/>
              </w:rPr>
              <w:t>.</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47.</w:t>
            </w:r>
          </w:p>
        </w:tc>
        <w:tc>
          <w:tcPr>
            <w:tcW w:w="0" w:type="auto"/>
            <w:hideMark/>
          </w:tcPr>
          <w:p w:rsidR="005B76C8" w:rsidRDefault="005B76C8" w:rsidP="005B76C8">
            <w:pPr>
              <w:pStyle w:val="Bibliography"/>
              <w:spacing w:line="240" w:lineRule="auto"/>
              <w:rPr>
                <w:rFonts w:eastAsiaTheme="minorEastAsia"/>
                <w:noProof/>
              </w:rPr>
            </w:pPr>
            <w:r>
              <w:rPr>
                <w:noProof/>
              </w:rPr>
              <w:t xml:space="preserve">J. Pozuelo, F. Mendicuti, and E. Enrique, "Conformation and mobility of polyethylene and trans-polyacethylene chains confined in a-cyclodextrins channels", </w:t>
            </w:r>
            <w:r>
              <w:rPr>
                <w:i/>
                <w:iCs/>
                <w:noProof/>
              </w:rPr>
              <w:t>Polymer</w:t>
            </w:r>
            <w:r>
              <w:rPr>
                <w:noProof/>
              </w:rPr>
              <w:t xml:space="preserve">, </w:t>
            </w:r>
            <w:r>
              <w:rPr>
                <w:b/>
                <w:bCs/>
                <w:noProof/>
              </w:rPr>
              <w:t>43</w:t>
            </w:r>
            <w:r>
              <w:rPr>
                <w:noProof/>
              </w:rPr>
              <w:t>, (2002), 523-531.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48.</w:t>
            </w:r>
          </w:p>
        </w:tc>
        <w:tc>
          <w:tcPr>
            <w:tcW w:w="0" w:type="auto"/>
            <w:hideMark/>
          </w:tcPr>
          <w:p w:rsidR="005B76C8" w:rsidRDefault="005B76C8" w:rsidP="005B76C8">
            <w:pPr>
              <w:pStyle w:val="Bibliography"/>
              <w:spacing w:line="240" w:lineRule="auto"/>
              <w:rPr>
                <w:rFonts w:eastAsiaTheme="minorEastAsia"/>
                <w:noProof/>
              </w:rPr>
            </w:pPr>
            <w:r>
              <w:rPr>
                <w:noProof/>
              </w:rPr>
              <w:t xml:space="preserve">S Neyertz, D Brown, and J O Thomas, "Molecular dynamics simulation of crystalline poly(ethylene oxide)", </w:t>
            </w:r>
            <w:r>
              <w:rPr>
                <w:i/>
                <w:iCs/>
                <w:noProof/>
              </w:rPr>
              <w:t>J. Chem. Phys.</w:t>
            </w:r>
            <w:r>
              <w:rPr>
                <w:noProof/>
              </w:rPr>
              <w:t xml:space="preserve">, </w:t>
            </w:r>
            <w:r>
              <w:rPr>
                <w:b/>
                <w:bCs/>
                <w:noProof/>
              </w:rPr>
              <w:t>101</w:t>
            </w:r>
            <w:r>
              <w:rPr>
                <w:noProof/>
              </w:rPr>
              <w:t>, (1994), 10064.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49.</w:t>
            </w:r>
          </w:p>
        </w:tc>
        <w:tc>
          <w:tcPr>
            <w:tcW w:w="0" w:type="auto"/>
            <w:hideMark/>
          </w:tcPr>
          <w:p w:rsidR="005B76C8" w:rsidRDefault="005B76C8" w:rsidP="005B76C8">
            <w:pPr>
              <w:pStyle w:val="Bibliography"/>
              <w:spacing w:line="240" w:lineRule="auto"/>
              <w:rPr>
                <w:rFonts w:eastAsiaTheme="minorEastAsia"/>
                <w:noProof/>
              </w:rPr>
            </w:pPr>
            <w:r>
              <w:rPr>
                <w:noProof/>
              </w:rPr>
              <w:t xml:space="preserve">O. Borodin, G. D. Smith, and R. L. Jaffe, "Ab Initio Quantum Chemistry and Molecular Dynamics Simulations Studies of LiPF6/Poly(ethylene oxide) Interactions", </w:t>
            </w:r>
            <w:r>
              <w:rPr>
                <w:i/>
                <w:iCs/>
                <w:noProof/>
              </w:rPr>
              <w:t>Journal of Computational Chemistry</w:t>
            </w:r>
            <w:r>
              <w:rPr>
                <w:noProof/>
              </w:rPr>
              <w:t xml:space="preserve">, </w:t>
            </w:r>
            <w:r>
              <w:rPr>
                <w:b/>
                <w:bCs/>
                <w:noProof/>
              </w:rPr>
              <w:t>22</w:t>
            </w:r>
            <w:r>
              <w:rPr>
                <w:noProof/>
              </w:rPr>
              <w:t>, (2001), 641-654.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50.</w:t>
            </w:r>
          </w:p>
        </w:tc>
        <w:tc>
          <w:tcPr>
            <w:tcW w:w="0" w:type="auto"/>
            <w:hideMark/>
          </w:tcPr>
          <w:p w:rsidR="005B76C8" w:rsidRDefault="005B76C8" w:rsidP="005B76C8">
            <w:pPr>
              <w:pStyle w:val="Bibliography"/>
              <w:spacing w:line="240" w:lineRule="auto"/>
              <w:rPr>
                <w:rFonts w:eastAsiaTheme="minorEastAsia"/>
                <w:noProof/>
              </w:rPr>
            </w:pPr>
            <w:r>
              <w:rPr>
                <w:noProof/>
              </w:rPr>
              <w:t>S. Neyertz, "Computer Simulation of PEO-Based Polymer Electrolytes", , (Uppsala University 1995).</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51.</w:t>
            </w:r>
          </w:p>
        </w:tc>
        <w:tc>
          <w:tcPr>
            <w:tcW w:w="0" w:type="auto"/>
            <w:hideMark/>
          </w:tcPr>
          <w:p w:rsidR="005B76C8" w:rsidRDefault="005B76C8" w:rsidP="005B76C8">
            <w:pPr>
              <w:pStyle w:val="Bibliography"/>
              <w:spacing w:line="240" w:lineRule="auto"/>
              <w:rPr>
                <w:noProof/>
              </w:rPr>
            </w:pPr>
            <w:r>
              <w:rPr>
                <w:i/>
                <w:iCs/>
                <w:noProof/>
              </w:rPr>
              <w:t>http://en.wikipedia.org/wiki/Conformational_isomerism</w:t>
            </w:r>
            <w:r>
              <w:rPr>
                <w:noProof/>
              </w:rPr>
              <w:t>.</w:t>
            </w:r>
          </w:p>
          <w:p w:rsidR="005B76C8" w:rsidRPr="005B76C8" w:rsidRDefault="005B76C8" w:rsidP="005B76C8"/>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lastRenderedPageBreak/>
              <w:t>52.</w:t>
            </w:r>
          </w:p>
        </w:tc>
        <w:tc>
          <w:tcPr>
            <w:tcW w:w="0" w:type="auto"/>
            <w:hideMark/>
          </w:tcPr>
          <w:p w:rsidR="005B76C8" w:rsidRDefault="005B76C8" w:rsidP="005B76C8">
            <w:pPr>
              <w:pStyle w:val="Bibliography"/>
              <w:spacing w:line="240" w:lineRule="auto"/>
              <w:rPr>
                <w:rFonts w:eastAsiaTheme="minorEastAsia"/>
                <w:noProof/>
              </w:rPr>
            </w:pPr>
            <w:r>
              <w:rPr>
                <w:noProof/>
              </w:rPr>
              <w:t xml:space="preserve">G. D. Smith, R. L. Jaffe, and H. Partridge, "Quantum Chemistry Study of the Interactions of Li+, Cl-, and I- Ions with Model Ethers", </w:t>
            </w:r>
            <w:r>
              <w:rPr>
                <w:i/>
                <w:iCs/>
                <w:noProof/>
              </w:rPr>
              <w:t>J. Phys. Chem.</w:t>
            </w:r>
            <w:r>
              <w:rPr>
                <w:noProof/>
              </w:rPr>
              <w:t xml:space="preserve">, </w:t>
            </w:r>
            <w:r>
              <w:rPr>
                <w:b/>
                <w:bCs/>
                <w:noProof/>
              </w:rPr>
              <w:t>101</w:t>
            </w:r>
            <w:r>
              <w:rPr>
                <w:noProof/>
              </w:rPr>
              <w:t>, (1997), 1705-1715.</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53.</w:t>
            </w:r>
          </w:p>
        </w:tc>
        <w:tc>
          <w:tcPr>
            <w:tcW w:w="0" w:type="auto"/>
            <w:hideMark/>
          </w:tcPr>
          <w:p w:rsidR="005B76C8" w:rsidRDefault="005B76C8" w:rsidP="005B76C8">
            <w:pPr>
              <w:pStyle w:val="Bibliography"/>
              <w:spacing w:line="240" w:lineRule="auto"/>
              <w:rPr>
                <w:rFonts w:eastAsiaTheme="minorEastAsia"/>
                <w:noProof/>
              </w:rPr>
            </w:pPr>
            <w:r>
              <w:rPr>
                <w:noProof/>
              </w:rPr>
              <w:t xml:space="preserve">C. Chen, P. Depa, V. G. Sakai, J. K. Maranas, J. W. Lynn, I. Peral, and J. R. D. Copley, "A comparison of united atom, explicit atom, and coarse-grained simulation models for poly (ethylene oxide)", </w:t>
            </w:r>
            <w:r>
              <w:rPr>
                <w:i/>
                <w:iCs/>
                <w:noProof/>
              </w:rPr>
              <w:t>The Journal of Chemical Physics</w:t>
            </w:r>
            <w:r>
              <w:rPr>
                <w:noProof/>
              </w:rPr>
              <w:t xml:space="preserve">, </w:t>
            </w:r>
            <w:r>
              <w:rPr>
                <w:b/>
                <w:bCs/>
                <w:noProof/>
              </w:rPr>
              <w:t>124</w:t>
            </w:r>
            <w:r>
              <w:rPr>
                <w:noProof/>
              </w:rPr>
              <w:t>, (2006), 234901.</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54.</w:t>
            </w:r>
          </w:p>
        </w:tc>
        <w:tc>
          <w:tcPr>
            <w:tcW w:w="0" w:type="auto"/>
            <w:hideMark/>
          </w:tcPr>
          <w:p w:rsidR="005B76C8" w:rsidRDefault="005B76C8" w:rsidP="005B76C8">
            <w:pPr>
              <w:pStyle w:val="Bibliography"/>
              <w:spacing w:line="240" w:lineRule="auto"/>
              <w:rPr>
                <w:rFonts w:eastAsiaTheme="minorEastAsia"/>
                <w:noProof/>
              </w:rPr>
            </w:pPr>
            <w:r>
              <w:rPr>
                <w:noProof/>
              </w:rPr>
              <w:t xml:space="preserve">J. Fögeling, M. Kunze, M. Schönhoff, and N. A. Stolwijk, "Foreign-ion and self-ion diffusion in a crosslinked salt-in-polyether electrolyte", </w:t>
            </w:r>
            <w:r>
              <w:rPr>
                <w:i/>
                <w:iCs/>
                <w:noProof/>
              </w:rPr>
              <w:t>Physical Chemistry Chemical Physics</w:t>
            </w:r>
            <w:r>
              <w:rPr>
                <w:noProof/>
              </w:rPr>
              <w:t>, (2009), doi:10.1039/b923894h.</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55.</w:t>
            </w:r>
          </w:p>
        </w:tc>
        <w:tc>
          <w:tcPr>
            <w:tcW w:w="0" w:type="auto"/>
            <w:hideMark/>
          </w:tcPr>
          <w:p w:rsidR="005B76C8" w:rsidRDefault="005B76C8" w:rsidP="005B76C8">
            <w:pPr>
              <w:pStyle w:val="Bibliography"/>
              <w:spacing w:line="240" w:lineRule="auto"/>
              <w:rPr>
                <w:rFonts w:eastAsiaTheme="minorEastAsia"/>
                <w:noProof/>
              </w:rPr>
            </w:pPr>
            <w:r>
              <w:rPr>
                <w:noProof/>
              </w:rPr>
              <w:t xml:space="preserve">Daniel Brandell, Priit Priimägi, Heiki Kasemägi, and Alvo Aabloo, "Branched polyethylene/poly(ethylene oxide) as a host matrix for Li-ion battery alactrolytes: A molecular dynamics study", </w:t>
            </w:r>
            <w:r>
              <w:rPr>
                <w:i/>
                <w:iCs/>
                <w:noProof/>
              </w:rPr>
              <w:t>Electrochimica Acta</w:t>
            </w:r>
            <w:r>
              <w:rPr>
                <w:noProof/>
              </w:rPr>
              <w:t xml:space="preserve">, </w:t>
            </w:r>
            <w:r>
              <w:rPr>
                <w:b/>
                <w:bCs/>
                <w:noProof/>
              </w:rPr>
              <w:t>57</w:t>
            </w:r>
            <w:r>
              <w:rPr>
                <w:noProof/>
              </w:rPr>
              <w:t>, (2011), 228-236.</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56.</w:t>
            </w:r>
          </w:p>
        </w:tc>
        <w:tc>
          <w:tcPr>
            <w:tcW w:w="0" w:type="auto"/>
            <w:hideMark/>
          </w:tcPr>
          <w:p w:rsidR="005B76C8" w:rsidRDefault="005B76C8" w:rsidP="005B76C8">
            <w:pPr>
              <w:pStyle w:val="Bibliography"/>
              <w:spacing w:line="240" w:lineRule="auto"/>
              <w:rPr>
                <w:rFonts w:eastAsiaTheme="minorEastAsia"/>
                <w:noProof/>
              </w:rPr>
            </w:pPr>
            <w:r>
              <w:rPr>
                <w:noProof/>
              </w:rPr>
              <w:t xml:space="preserve">S. Arumugam, J. Shi, D. P. Tunstall, and C. A. Vincent, "Cation and anion diffusion coefficients in a solid polymer electrolyte measured by pulsed-field gradient nuclear magnetic resonance", </w:t>
            </w:r>
            <w:r>
              <w:rPr>
                <w:i/>
                <w:iCs/>
                <w:noProof/>
              </w:rPr>
              <w:t>J. Phys. Condens Matter</w:t>
            </w:r>
            <w:r>
              <w:rPr>
                <w:noProof/>
              </w:rPr>
              <w:t xml:space="preserve">, </w:t>
            </w:r>
            <w:r>
              <w:rPr>
                <w:b/>
                <w:bCs/>
                <w:noProof/>
              </w:rPr>
              <w:t>5</w:t>
            </w:r>
            <w:r>
              <w:rPr>
                <w:noProof/>
              </w:rPr>
              <w:t>, (1993), 153-160.</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57.</w:t>
            </w:r>
          </w:p>
        </w:tc>
        <w:tc>
          <w:tcPr>
            <w:tcW w:w="0" w:type="auto"/>
            <w:hideMark/>
          </w:tcPr>
          <w:p w:rsidR="005B76C8" w:rsidRDefault="005B76C8" w:rsidP="005B76C8">
            <w:pPr>
              <w:pStyle w:val="Bibliography"/>
              <w:spacing w:line="240" w:lineRule="auto"/>
              <w:rPr>
                <w:rFonts w:eastAsiaTheme="minorEastAsia"/>
                <w:noProof/>
              </w:rPr>
            </w:pPr>
            <w:r>
              <w:rPr>
                <w:i/>
                <w:iCs/>
                <w:noProof/>
              </w:rPr>
              <w:t>http://www.physic.ut.ee/materjalimaailm/Kirjed/Poluetuleen.htm</w:t>
            </w:r>
            <w:r>
              <w:rPr>
                <w:noProof/>
              </w:rPr>
              <w:t>.</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58.</w:t>
            </w:r>
          </w:p>
        </w:tc>
        <w:tc>
          <w:tcPr>
            <w:tcW w:w="0" w:type="auto"/>
            <w:hideMark/>
          </w:tcPr>
          <w:p w:rsidR="005B76C8" w:rsidRDefault="005B76C8" w:rsidP="005B76C8">
            <w:pPr>
              <w:pStyle w:val="Bibliography"/>
              <w:spacing w:line="240" w:lineRule="auto"/>
              <w:rPr>
                <w:rFonts w:eastAsiaTheme="minorEastAsia"/>
                <w:noProof/>
              </w:rPr>
            </w:pPr>
            <w:r>
              <w:rPr>
                <w:i/>
                <w:iCs/>
                <w:noProof/>
              </w:rPr>
              <w:t>http://msds.chem.ox.ac.uk/PO/poly(ethylene_oxide).html</w:t>
            </w:r>
            <w:r>
              <w:rPr>
                <w:noProof/>
              </w:rPr>
              <w:t>.</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59.</w:t>
            </w:r>
          </w:p>
        </w:tc>
        <w:tc>
          <w:tcPr>
            <w:tcW w:w="0" w:type="auto"/>
            <w:hideMark/>
          </w:tcPr>
          <w:p w:rsidR="005B76C8" w:rsidRDefault="005B76C8" w:rsidP="005B76C8">
            <w:pPr>
              <w:pStyle w:val="Bibliography"/>
              <w:spacing w:line="240" w:lineRule="auto"/>
              <w:rPr>
                <w:rFonts w:eastAsiaTheme="minorEastAsia"/>
                <w:noProof/>
              </w:rPr>
            </w:pPr>
            <w:r>
              <w:rPr>
                <w:noProof/>
              </w:rPr>
              <w:t xml:space="preserve">A. A. Askadskii, </w:t>
            </w:r>
            <w:r>
              <w:rPr>
                <w:i/>
                <w:iCs/>
                <w:noProof/>
              </w:rPr>
              <w:t>Computational Materials Science Of Polymers</w:t>
            </w:r>
            <w:r>
              <w:rPr>
                <w:noProof/>
              </w:rPr>
              <w:t>, (2003).</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60.</w:t>
            </w:r>
          </w:p>
        </w:tc>
        <w:tc>
          <w:tcPr>
            <w:tcW w:w="0" w:type="auto"/>
            <w:hideMark/>
          </w:tcPr>
          <w:p w:rsidR="005B76C8" w:rsidRDefault="005B76C8" w:rsidP="005B76C8">
            <w:pPr>
              <w:pStyle w:val="Bibliography"/>
              <w:spacing w:line="240" w:lineRule="auto"/>
              <w:rPr>
                <w:rFonts w:eastAsiaTheme="minorEastAsia"/>
                <w:noProof/>
              </w:rPr>
            </w:pPr>
            <w:r>
              <w:rPr>
                <w:noProof/>
              </w:rPr>
              <w:t xml:space="preserve">A. Manuel Stephan and K. S. Nahm, "Review on composite polymer electrolytes for lithium batteries", </w:t>
            </w:r>
            <w:r>
              <w:rPr>
                <w:i/>
                <w:iCs/>
                <w:noProof/>
              </w:rPr>
              <w:t>Polymer</w:t>
            </w:r>
            <w:r>
              <w:rPr>
                <w:noProof/>
              </w:rPr>
              <w:t xml:space="preserve">, </w:t>
            </w:r>
            <w:r>
              <w:rPr>
                <w:b/>
                <w:bCs/>
                <w:noProof/>
              </w:rPr>
              <w:t>47</w:t>
            </w:r>
            <w:r>
              <w:rPr>
                <w:noProof/>
              </w:rPr>
              <w:t>, (2006), 5952-5964.</w:t>
            </w:r>
          </w:p>
        </w:tc>
      </w:tr>
      <w:tr w:rsidR="005B76C8" w:rsidTr="005B76C8">
        <w:trPr>
          <w:tblCellSpacing w:w="15" w:type="dxa"/>
        </w:trPr>
        <w:tc>
          <w:tcPr>
            <w:tcW w:w="0" w:type="auto"/>
            <w:hideMark/>
          </w:tcPr>
          <w:p w:rsidR="005B76C8" w:rsidRDefault="005B76C8" w:rsidP="005B76C8">
            <w:pPr>
              <w:pStyle w:val="Bibliography"/>
              <w:spacing w:line="240" w:lineRule="auto"/>
              <w:jc w:val="right"/>
              <w:rPr>
                <w:rFonts w:eastAsiaTheme="minorEastAsia"/>
                <w:noProof/>
              </w:rPr>
            </w:pPr>
            <w:r>
              <w:rPr>
                <w:noProof/>
              </w:rPr>
              <w:t>61.</w:t>
            </w:r>
          </w:p>
        </w:tc>
        <w:tc>
          <w:tcPr>
            <w:tcW w:w="0" w:type="auto"/>
            <w:hideMark/>
          </w:tcPr>
          <w:p w:rsidR="005B76C8" w:rsidRDefault="005B76C8" w:rsidP="005B76C8">
            <w:pPr>
              <w:pStyle w:val="Bibliography"/>
              <w:spacing w:line="240" w:lineRule="auto"/>
              <w:rPr>
                <w:rFonts w:eastAsiaTheme="minorEastAsia"/>
                <w:noProof/>
              </w:rPr>
            </w:pPr>
            <w:r>
              <w:rPr>
                <w:noProof/>
              </w:rPr>
              <w:t xml:space="preserve">Gang Yang, Wenhua Hou, Z. Sun, and Q. Yan, "A novel inorganic–organic polymer electrolyte with a high conductivity: insertion of poly(ethylene) oxide into LiV3O8 in one step", </w:t>
            </w:r>
            <w:r>
              <w:rPr>
                <w:i/>
                <w:iCs/>
                <w:noProof/>
              </w:rPr>
              <w:t>Journal of Materials Chemistry</w:t>
            </w:r>
            <w:r>
              <w:rPr>
                <w:noProof/>
              </w:rPr>
              <w:t xml:space="preserve">, </w:t>
            </w:r>
            <w:r>
              <w:rPr>
                <w:b/>
                <w:bCs/>
                <w:noProof/>
              </w:rPr>
              <w:t>15</w:t>
            </w:r>
            <w:r>
              <w:rPr>
                <w:noProof/>
              </w:rPr>
              <w:t>, (2005), 1369–1374.</w:t>
            </w:r>
          </w:p>
        </w:tc>
      </w:tr>
    </w:tbl>
    <w:p w:rsidR="005B76C8" w:rsidRDefault="005B76C8" w:rsidP="005B76C8">
      <w:pPr>
        <w:pStyle w:val="Bibliography"/>
        <w:rPr>
          <w:rFonts w:eastAsiaTheme="minorEastAsia"/>
          <w:noProof/>
          <w:vanish/>
        </w:rPr>
      </w:pPr>
      <w:r>
        <w:rPr>
          <w:noProof/>
          <w:vanish/>
        </w:rPr>
        <w:t>x</w:t>
      </w:r>
    </w:p>
    <w:p w:rsidR="00477E80" w:rsidRDefault="00B23348" w:rsidP="005B76C8">
      <w:pPr>
        <w:spacing w:before="0" w:after="240" w:line="240" w:lineRule="auto"/>
        <w:rPr>
          <w:rFonts w:eastAsiaTheme="majorEastAsia" w:cstheme="majorBidi"/>
          <w:bCs/>
          <w:color w:val="000000" w:themeColor="text1"/>
          <w:sz w:val="32"/>
          <w:szCs w:val="28"/>
        </w:rPr>
      </w:pPr>
      <w:r>
        <w:fldChar w:fldCharType="end"/>
      </w:r>
      <w:r w:rsidR="00477E80">
        <w:br w:type="page"/>
      </w:r>
    </w:p>
    <w:p w:rsidR="00986AF4" w:rsidRDefault="00986AF4" w:rsidP="00F7242C">
      <w:pPr>
        <w:pStyle w:val="Heading1"/>
      </w:pPr>
      <w:bookmarkStart w:id="99" w:name="_Toc325224198"/>
      <w:r w:rsidRPr="00277A91">
        <w:lastRenderedPageBreak/>
        <w:t>8.   SUMMARY</w:t>
      </w:r>
      <w:bookmarkEnd w:id="99"/>
    </w:p>
    <w:p w:rsidR="00A63475" w:rsidRDefault="00A63475" w:rsidP="00A63475">
      <w:r>
        <w:rPr>
          <w:noProof/>
          <w:sz w:val="32"/>
          <w:szCs w:val="32"/>
        </w:rPr>
        <w:t>Lithium-ion-polymer battery s</w:t>
      </w:r>
      <w:r w:rsidRPr="00E468D5">
        <w:rPr>
          <w:noProof/>
          <w:sz w:val="32"/>
          <w:szCs w:val="32"/>
        </w:rPr>
        <w:t xml:space="preserve">olid state electrolyte </w:t>
      </w:r>
      <w:r>
        <w:rPr>
          <w:rFonts w:cs="Times New Roman"/>
          <w:sz w:val="32"/>
          <w:szCs w:val="32"/>
        </w:rPr>
        <w:t>p</w:t>
      </w:r>
      <w:r w:rsidRPr="00E468D5">
        <w:rPr>
          <w:rFonts w:cs="Times New Roman"/>
          <w:sz w:val="32"/>
          <w:szCs w:val="32"/>
        </w:rPr>
        <w:t>olyethylen/polyethylene oxide copolymer with LiPF</w:t>
      </w:r>
      <w:r w:rsidRPr="00E468D5">
        <w:rPr>
          <w:rFonts w:cs="Times New Roman"/>
          <w:sz w:val="32"/>
          <w:szCs w:val="32"/>
          <w:vertAlign w:val="subscript"/>
        </w:rPr>
        <w:t>6</w:t>
      </w:r>
      <w:r w:rsidRPr="00E468D5">
        <w:rPr>
          <w:rFonts w:cs="Times New Roman"/>
          <w:sz w:val="32"/>
          <w:szCs w:val="32"/>
        </w:rPr>
        <w:t xml:space="preserve"> </w:t>
      </w:r>
      <w:r w:rsidRPr="00E468D5">
        <w:rPr>
          <w:noProof/>
          <w:sz w:val="32"/>
          <w:szCs w:val="32"/>
        </w:rPr>
        <w:t>molecular dynamics</w:t>
      </w:r>
      <w:r>
        <w:rPr>
          <w:noProof/>
          <w:sz w:val="32"/>
          <w:szCs w:val="32"/>
        </w:rPr>
        <w:t xml:space="preserve"> </w:t>
      </w:r>
      <w:r w:rsidRPr="00E468D5">
        <w:rPr>
          <w:noProof/>
          <w:sz w:val="32"/>
          <w:szCs w:val="32"/>
        </w:rPr>
        <w:t>simulation</w:t>
      </w:r>
    </w:p>
    <w:p w:rsidR="00794025" w:rsidRDefault="00A63475" w:rsidP="00794025">
      <w:pPr>
        <w:rPr>
          <w:rFonts w:cs="Times New Roman"/>
          <w:sz w:val="28"/>
          <w:szCs w:val="28"/>
        </w:rPr>
      </w:pPr>
      <w:r>
        <w:rPr>
          <w:rFonts w:cs="Times New Roman"/>
          <w:sz w:val="28"/>
          <w:szCs w:val="28"/>
        </w:rPr>
        <w:t>Priit Priimägi</w:t>
      </w:r>
    </w:p>
    <w:p w:rsidR="00794025" w:rsidRPr="00794025" w:rsidRDefault="00794025" w:rsidP="00795A7D">
      <w:pPr>
        <w:rPr>
          <w:rFonts w:cs="Times New Roman"/>
          <w:bCs/>
          <w:szCs w:val="24"/>
        </w:rPr>
      </w:pPr>
      <w:r w:rsidRPr="00794025">
        <w:rPr>
          <w:rFonts w:cs="Times New Roman"/>
          <w:szCs w:val="24"/>
        </w:rPr>
        <w:t xml:space="preserve">Developing new and better electrolytes is an important part of the advancement of lithium ion battery technology. This includes the study of their inner chemical and physical processes, as well as comparing new substances and structures with those already in use. One of the </w:t>
      </w:r>
      <w:r w:rsidRPr="00794025">
        <w:rPr>
          <w:rFonts w:cs="Times New Roman"/>
          <w:bCs/>
          <w:szCs w:val="24"/>
        </w:rPr>
        <w:t xml:space="preserve">best techniques for this is MD </w:t>
      </w:r>
      <w:r w:rsidRPr="00794025">
        <w:rPr>
          <w:rFonts w:cs="Times New Roman"/>
          <w:szCs w:val="24"/>
        </w:rPr>
        <w:t>simulation. Our study comprises the computational modelling of one of such new systems, copolymer-electrolyte, its MD simulation and an analysis of the results. The system consisted of a copolymer, the main chain of which was polyethylene and the connected side chains polyethylene oxide, and a salt, LiPF</w:t>
      </w:r>
      <w:r w:rsidRPr="00794025">
        <w:rPr>
          <w:rFonts w:cs="Times New Roman"/>
          <w:szCs w:val="24"/>
          <w:vertAlign w:val="subscript"/>
        </w:rPr>
        <w:t>6.</w:t>
      </w:r>
      <w:r w:rsidRPr="00794025">
        <w:rPr>
          <w:rFonts w:cs="Times New Roman"/>
          <w:szCs w:val="24"/>
        </w:rPr>
        <w:t xml:space="preserve"> The simulation results, in short, are as follows.</w:t>
      </w:r>
    </w:p>
    <w:p w:rsidR="00794025" w:rsidRPr="00794025" w:rsidRDefault="00794025" w:rsidP="00795A7D">
      <w:pPr>
        <w:pStyle w:val="ListParagraph"/>
        <w:numPr>
          <w:ilvl w:val="0"/>
          <w:numId w:val="9"/>
        </w:numPr>
        <w:ind w:left="709"/>
        <w:rPr>
          <w:rFonts w:cs="Times New Roman"/>
          <w:szCs w:val="24"/>
        </w:rPr>
      </w:pPr>
      <w:r w:rsidRPr="00794025">
        <w:rPr>
          <w:rFonts w:cs="Times New Roman"/>
          <w:szCs w:val="24"/>
        </w:rPr>
        <w:t>We used computer modelling to simulate copolymers with six different side chain lengths. Copolymers with longer side chains had less side chains, as side chain intervals were kept constant. LiPF</w:t>
      </w:r>
      <w:r w:rsidRPr="00794025">
        <w:rPr>
          <w:rFonts w:cs="Times New Roman"/>
          <w:szCs w:val="24"/>
          <w:vertAlign w:val="subscript"/>
        </w:rPr>
        <w:t>6</w:t>
      </w:r>
      <w:r w:rsidRPr="00794025">
        <w:rPr>
          <w:rFonts w:cs="Times New Roman"/>
          <w:szCs w:val="24"/>
        </w:rPr>
        <w:t xml:space="preserve"> was added to the polymer to achieve a Li-ion to EO ratio of 1:12.</w:t>
      </w:r>
    </w:p>
    <w:p w:rsidR="00794025" w:rsidRPr="00794025" w:rsidRDefault="00794025" w:rsidP="00795A7D">
      <w:pPr>
        <w:pStyle w:val="ListParagraph"/>
        <w:numPr>
          <w:ilvl w:val="0"/>
          <w:numId w:val="9"/>
        </w:numPr>
        <w:ind w:left="709"/>
        <w:rPr>
          <w:rFonts w:cs="Times New Roman"/>
          <w:szCs w:val="24"/>
        </w:rPr>
      </w:pPr>
      <w:r w:rsidRPr="00794025">
        <w:rPr>
          <w:rFonts w:cs="Times New Roman"/>
          <w:szCs w:val="24"/>
        </w:rPr>
        <w:t>The influence of side chain length on ionic mobility was studied. Greater side chain length resulted in a greater diffusion coefficient for the Li ions (in a 10EO system it was 1,2</w:t>
      </w:r>
      <w:r w:rsidRPr="00794025">
        <w:rPr>
          <w:rFonts w:cs="Times New Roman"/>
          <w:color w:val="000000"/>
          <w:szCs w:val="24"/>
        </w:rPr>
        <w:t>·</w:t>
      </w:r>
      <w:r w:rsidRPr="00794025">
        <w:rPr>
          <w:rFonts w:cs="Times New Roman"/>
          <w:szCs w:val="24"/>
        </w:rPr>
        <w:t>10</w:t>
      </w:r>
      <w:r w:rsidRPr="00794025">
        <w:rPr>
          <w:rFonts w:cs="Times New Roman"/>
          <w:szCs w:val="24"/>
          <w:vertAlign w:val="superscript"/>
        </w:rPr>
        <w:t>-13</w:t>
      </w:r>
      <w:r w:rsidRPr="00794025">
        <w:rPr>
          <w:rFonts w:cs="Times New Roman"/>
          <w:szCs w:val="24"/>
        </w:rPr>
        <w:t>m</w:t>
      </w:r>
      <w:r w:rsidRPr="00794025">
        <w:rPr>
          <w:rFonts w:cs="Times New Roman"/>
          <w:szCs w:val="24"/>
          <w:vertAlign w:val="superscript"/>
        </w:rPr>
        <w:t>2</w:t>
      </w:r>
      <w:r w:rsidRPr="00794025">
        <w:rPr>
          <w:rFonts w:cs="Times New Roman"/>
          <w:szCs w:val="24"/>
        </w:rPr>
        <w:t>s</w:t>
      </w:r>
      <w:r w:rsidRPr="00794025">
        <w:rPr>
          <w:rFonts w:cs="Times New Roman"/>
          <w:szCs w:val="24"/>
          <w:vertAlign w:val="superscript"/>
        </w:rPr>
        <w:t>-1</w:t>
      </w:r>
      <w:r w:rsidRPr="00794025">
        <w:rPr>
          <w:rFonts w:cs="Times New Roman"/>
          <w:szCs w:val="24"/>
        </w:rPr>
        <w:t>). All systems exhibited  Li ion diffusion coefficients at least 5 times higher compared to a linear PEO system (1,4</w:t>
      </w:r>
      <w:r w:rsidRPr="00794025">
        <w:rPr>
          <w:rFonts w:cs="Times New Roman"/>
          <w:color w:val="000000"/>
          <w:szCs w:val="24"/>
        </w:rPr>
        <w:t>·</w:t>
      </w:r>
      <w:r w:rsidRPr="00794025">
        <w:rPr>
          <w:rFonts w:cs="Times New Roman"/>
          <w:szCs w:val="24"/>
        </w:rPr>
        <w:t>10</w:t>
      </w:r>
      <w:r w:rsidRPr="00794025">
        <w:rPr>
          <w:rFonts w:cs="Times New Roman"/>
          <w:szCs w:val="24"/>
          <w:vertAlign w:val="superscript"/>
        </w:rPr>
        <w:t>-14</w:t>
      </w:r>
      <w:r w:rsidRPr="00794025">
        <w:rPr>
          <w:rFonts w:cs="Times New Roman"/>
          <w:szCs w:val="24"/>
        </w:rPr>
        <w:t xml:space="preserve"> m</w:t>
      </w:r>
      <w:r w:rsidRPr="00794025">
        <w:rPr>
          <w:rFonts w:cs="Times New Roman"/>
          <w:szCs w:val="24"/>
          <w:vertAlign w:val="superscript"/>
        </w:rPr>
        <w:t>2</w:t>
      </w:r>
      <w:r w:rsidRPr="00794025">
        <w:rPr>
          <w:rFonts w:cs="Times New Roman"/>
          <w:szCs w:val="24"/>
        </w:rPr>
        <w:t>s</w:t>
      </w:r>
      <w:r w:rsidRPr="00794025">
        <w:rPr>
          <w:rFonts w:cs="Times New Roman"/>
          <w:szCs w:val="24"/>
          <w:vertAlign w:val="superscript"/>
        </w:rPr>
        <w:t>-1</w:t>
      </w:r>
      <w:r w:rsidRPr="00794025">
        <w:rPr>
          <w:rFonts w:cs="Times New Roman"/>
          <w:szCs w:val="24"/>
        </w:rPr>
        <w:t>).</w:t>
      </w:r>
    </w:p>
    <w:p w:rsidR="00794025" w:rsidRPr="00794025" w:rsidRDefault="00794025" w:rsidP="00795A7D">
      <w:pPr>
        <w:pStyle w:val="ListParagraph"/>
        <w:numPr>
          <w:ilvl w:val="0"/>
          <w:numId w:val="9"/>
        </w:numPr>
        <w:spacing w:before="0"/>
        <w:ind w:left="709"/>
        <w:rPr>
          <w:rFonts w:cs="Times New Roman"/>
          <w:szCs w:val="24"/>
        </w:rPr>
      </w:pPr>
      <w:r w:rsidRPr="00794025">
        <w:rPr>
          <w:rFonts w:cs="Times New Roman"/>
          <w:szCs w:val="24"/>
        </w:rPr>
        <w:t>The coordination of Li ions with O</w:t>
      </w:r>
      <w:r w:rsidRPr="00794025">
        <w:rPr>
          <w:rFonts w:cs="Times New Roman"/>
          <w:szCs w:val="24"/>
          <w:vertAlign w:val="subscript"/>
        </w:rPr>
        <w:t>PEO</w:t>
      </w:r>
      <w:r w:rsidRPr="00794025">
        <w:rPr>
          <w:rFonts w:cs="Times New Roman"/>
          <w:szCs w:val="24"/>
        </w:rPr>
        <w:t xml:space="preserve"> ja PF</w:t>
      </w:r>
      <w:r w:rsidRPr="00794025">
        <w:rPr>
          <w:rFonts w:cs="Times New Roman"/>
          <w:szCs w:val="24"/>
          <w:vertAlign w:val="subscript"/>
        </w:rPr>
        <w:t>6</w:t>
      </w:r>
      <w:r w:rsidRPr="00794025">
        <w:rPr>
          <w:rFonts w:cs="Times New Roman"/>
          <w:szCs w:val="24"/>
          <w:vertAlign w:val="superscript"/>
        </w:rPr>
        <w:t xml:space="preserve">- </w:t>
      </w:r>
      <w:r w:rsidRPr="00794025">
        <w:rPr>
          <w:rFonts w:cs="Times New Roman"/>
          <w:szCs w:val="24"/>
        </w:rPr>
        <w:t>was studied. Results showed an average coordination number of 0,5 for Li ions and PF</w:t>
      </w:r>
      <w:r w:rsidRPr="00794025">
        <w:rPr>
          <w:rFonts w:cs="Times New Roman"/>
          <w:szCs w:val="24"/>
          <w:vertAlign w:val="subscript"/>
        </w:rPr>
        <w:t>6</w:t>
      </w:r>
      <w:r w:rsidRPr="00794025">
        <w:rPr>
          <w:rFonts w:cs="Times New Roman"/>
          <w:szCs w:val="24"/>
          <w:vertAlign w:val="superscript"/>
        </w:rPr>
        <w:t>-</w:t>
      </w:r>
      <w:r w:rsidRPr="00794025">
        <w:rPr>
          <w:rFonts w:cs="Times New Roman"/>
          <w:szCs w:val="24"/>
        </w:rPr>
        <w:t xml:space="preserve"> ions and 5,7 for Li ions and chain oxygen atoms, resulting in a total coordination number of 6,2 for Li ions. </w:t>
      </w:r>
    </w:p>
    <w:p w:rsidR="00794025" w:rsidRPr="00794025" w:rsidRDefault="00794025" w:rsidP="00795A7D">
      <w:pPr>
        <w:pStyle w:val="ListParagraph"/>
        <w:numPr>
          <w:ilvl w:val="0"/>
          <w:numId w:val="9"/>
        </w:numPr>
        <w:ind w:left="709"/>
        <w:rPr>
          <w:rFonts w:cs="Times New Roman"/>
          <w:szCs w:val="24"/>
        </w:rPr>
      </w:pPr>
      <w:r w:rsidRPr="00794025">
        <w:rPr>
          <w:rFonts w:cs="Times New Roman"/>
          <w:szCs w:val="24"/>
        </w:rPr>
        <w:t>Variations of the coordination sphere of the Li ions were investigated. It was found that systems with a side chain length of 10 EO and up had more variations of the coordination sphere (up to 0,26 events per ion in the system) compared to 8EO  systems (0,11 events per ion).</w:t>
      </w:r>
    </w:p>
    <w:p w:rsidR="00C07242" w:rsidRPr="00C07242" w:rsidRDefault="00794025" w:rsidP="00795A7D">
      <w:pPr>
        <w:rPr>
          <w:rFonts w:cs="Times New Roman"/>
          <w:szCs w:val="24"/>
          <w:lang w:val="en-US"/>
        </w:rPr>
      </w:pPr>
      <w:r w:rsidRPr="00794025">
        <w:rPr>
          <w:rFonts w:cs="Times New Roman"/>
          <w:szCs w:val="24"/>
        </w:rPr>
        <w:lastRenderedPageBreak/>
        <w:t>Systems with side chains of 10 EO and up have markedly different qualities compared to others. Sytems with these side chain lengths are capable of total coordination of cations, have a high dissociation rate of salts and exhibit better ionic conduction properties. It is difficult to draw more definite conclusions as, although the systems were prolifically simulated, there are little experimental results for comparison. Further investigation may include simulations at higher temperatures and experimental work.</w:t>
      </w:r>
    </w:p>
    <w:p w:rsidR="00CF42C8" w:rsidRDefault="00795A7D" w:rsidP="00CF42C8">
      <w:pPr>
        <w:spacing w:before="0" w:line="276" w:lineRule="auto"/>
        <w:jc w:val="right"/>
        <w:rPr>
          <w:rFonts w:cs="Times New Roman"/>
          <w:szCs w:val="24"/>
        </w:rPr>
      </w:pPr>
      <w:r>
        <w:rPr>
          <w:rFonts w:cs="Times New Roman"/>
          <w:szCs w:val="24"/>
        </w:rPr>
        <w:br w:type="page"/>
      </w:r>
    </w:p>
    <w:p w:rsidR="004149B0" w:rsidRDefault="004149B0" w:rsidP="004149B0">
      <w:pPr>
        <w:pStyle w:val="Heading1"/>
        <w:jc w:val="right"/>
        <w:rPr>
          <w:sz w:val="72"/>
          <w:szCs w:val="72"/>
        </w:rPr>
      </w:pPr>
    </w:p>
    <w:p w:rsidR="00CF42C8" w:rsidRPr="004149B0" w:rsidRDefault="004149B0" w:rsidP="004149B0">
      <w:pPr>
        <w:pStyle w:val="Heading1"/>
        <w:jc w:val="right"/>
        <w:rPr>
          <w:sz w:val="72"/>
          <w:szCs w:val="72"/>
        </w:rPr>
      </w:pPr>
      <w:bookmarkStart w:id="100" w:name="_Toc325224199"/>
      <w:r w:rsidRPr="004149B0">
        <w:rPr>
          <w:sz w:val="72"/>
          <w:szCs w:val="72"/>
        </w:rPr>
        <w:t>LISA 1</w:t>
      </w:r>
      <w:bookmarkEnd w:id="100"/>
    </w:p>
    <w:p w:rsidR="00CF42C8" w:rsidRDefault="00CF42C8" w:rsidP="004149B0">
      <w:pPr>
        <w:spacing w:before="0" w:line="276" w:lineRule="auto"/>
        <w:jc w:val="right"/>
        <w:rPr>
          <w:rFonts w:cs="Times New Roman"/>
          <w:szCs w:val="24"/>
        </w:rPr>
      </w:pPr>
    </w:p>
    <w:sectPr w:rsidR="00CF42C8" w:rsidSect="00620EEF">
      <w:footerReference w:type="default" r:id="rId30"/>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9D4" w:rsidRDefault="004249D4" w:rsidP="001F7340">
      <w:pPr>
        <w:spacing w:after="0" w:line="240" w:lineRule="auto"/>
      </w:pPr>
      <w:r>
        <w:separator/>
      </w:r>
    </w:p>
  </w:endnote>
  <w:endnote w:type="continuationSeparator" w:id="1">
    <w:p w:rsidR="004249D4" w:rsidRDefault="004249D4"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P44E6F4">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837122" w:rsidRDefault="00B23348">
        <w:pPr>
          <w:pStyle w:val="Footer"/>
          <w:jc w:val="center"/>
        </w:pPr>
        <w:fldSimple w:instr=" PAGE   \* MERGEFORMAT ">
          <w:r w:rsidR="004149B0">
            <w:rPr>
              <w:noProof/>
            </w:rPr>
            <w:t>21</w:t>
          </w:r>
        </w:fldSimple>
      </w:p>
    </w:sdtContent>
  </w:sdt>
  <w:p w:rsidR="00837122" w:rsidRDefault="008371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9D4" w:rsidRDefault="004249D4" w:rsidP="001F7340">
      <w:pPr>
        <w:spacing w:after="0" w:line="240" w:lineRule="auto"/>
      </w:pPr>
      <w:r>
        <w:separator/>
      </w:r>
    </w:p>
  </w:footnote>
  <w:footnote w:type="continuationSeparator" w:id="1">
    <w:p w:rsidR="004249D4" w:rsidRDefault="004249D4"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7626244"/>
    <w:multiLevelType w:val="hybridMultilevel"/>
    <w:tmpl w:val="4E3A7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D46BD"/>
    <w:multiLevelType w:val="hybridMultilevel"/>
    <w:tmpl w:val="3666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66FE0"/>
    <w:multiLevelType w:val="hybridMultilevel"/>
    <w:tmpl w:val="4B4AC90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5">
    <w:nsid w:val="1F1A6BE3"/>
    <w:multiLevelType w:val="hybridMultilevel"/>
    <w:tmpl w:val="6D94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3056E"/>
    <w:multiLevelType w:val="hybridMultilevel"/>
    <w:tmpl w:val="85662892"/>
    <w:lvl w:ilvl="0" w:tplc="F0CA13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A831F97"/>
    <w:multiLevelType w:val="hybridMultilevel"/>
    <w:tmpl w:val="0F78C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10">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AA17F3B"/>
    <w:multiLevelType w:val="hybridMultilevel"/>
    <w:tmpl w:val="5B44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59754E"/>
    <w:multiLevelType w:val="hybridMultilevel"/>
    <w:tmpl w:val="7CA099E0"/>
    <w:lvl w:ilvl="0" w:tplc="0DEEBA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4DE6E9A"/>
    <w:multiLevelType w:val="hybridMultilevel"/>
    <w:tmpl w:val="8FAC207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4">
    <w:nsid w:val="754A7089"/>
    <w:multiLevelType w:val="hybridMultilevel"/>
    <w:tmpl w:val="20F4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4"/>
  </w:num>
  <w:num w:numId="5">
    <w:abstractNumId w:val="9"/>
  </w:num>
  <w:num w:numId="6">
    <w:abstractNumId w:val="12"/>
  </w:num>
  <w:num w:numId="7">
    <w:abstractNumId w:val="3"/>
  </w:num>
  <w:num w:numId="8">
    <w:abstractNumId w:val="8"/>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11"/>
  </w:num>
  <w:num w:numId="13">
    <w:abstractNumId w:val="14"/>
  </w:num>
  <w:num w:numId="14">
    <w:abstractNumId w:val="2"/>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0644"/>
    <w:rsid w:val="0001263D"/>
    <w:rsid w:val="000129E5"/>
    <w:rsid w:val="00012E12"/>
    <w:rsid w:val="000132E0"/>
    <w:rsid w:val="0001446E"/>
    <w:rsid w:val="0001597E"/>
    <w:rsid w:val="00015B67"/>
    <w:rsid w:val="00016AE7"/>
    <w:rsid w:val="00016E65"/>
    <w:rsid w:val="000172A3"/>
    <w:rsid w:val="0002001F"/>
    <w:rsid w:val="000230CD"/>
    <w:rsid w:val="00024715"/>
    <w:rsid w:val="00026A28"/>
    <w:rsid w:val="00030B10"/>
    <w:rsid w:val="00030CB8"/>
    <w:rsid w:val="0003111B"/>
    <w:rsid w:val="00032C68"/>
    <w:rsid w:val="000346C1"/>
    <w:rsid w:val="00034FC3"/>
    <w:rsid w:val="000371DA"/>
    <w:rsid w:val="00037E59"/>
    <w:rsid w:val="000401DE"/>
    <w:rsid w:val="000402BB"/>
    <w:rsid w:val="00041267"/>
    <w:rsid w:val="00041584"/>
    <w:rsid w:val="000430A8"/>
    <w:rsid w:val="0004313D"/>
    <w:rsid w:val="0004328D"/>
    <w:rsid w:val="00044341"/>
    <w:rsid w:val="00045AE8"/>
    <w:rsid w:val="0004616A"/>
    <w:rsid w:val="000463E3"/>
    <w:rsid w:val="000467FC"/>
    <w:rsid w:val="00046D7A"/>
    <w:rsid w:val="00051084"/>
    <w:rsid w:val="000510D0"/>
    <w:rsid w:val="000524A7"/>
    <w:rsid w:val="000524F7"/>
    <w:rsid w:val="00053BF8"/>
    <w:rsid w:val="00055106"/>
    <w:rsid w:val="000569BD"/>
    <w:rsid w:val="00061F3A"/>
    <w:rsid w:val="000624D5"/>
    <w:rsid w:val="00062AC0"/>
    <w:rsid w:val="000630D8"/>
    <w:rsid w:val="00063BF8"/>
    <w:rsid w:val="000650F2"/>
    <w:rsid w:val="00070643"/>
    <w:rsid w:val="00073555"/>
    <w:rsid w:val="000738AF"/>
    <w:rsid w:val="00073A81"/>
    <w:rsid w:val="000746F9"/>
    <w:rsid w:val="000760AF"/>
    <w:rsid w:val="0007785B"/>
    <w:rsid w:val="000808AD"/>
    <w:rsid w:val="00081E0A"/>
    <w:rsid w:val="000853A9"/>
    <w:rsid w:val="00085B7A"/>
    <w:rsid w:val="000902E3"/>
    <w:rsid w:val="00090443"/>
    <w:rsid w:val="0009120B"/>
    <w:rsid w:val="000925AD"/>
    <w:rsid w:val="00092E79"/>
    <w:rsid w:val="000A03E2"/>
    <w:rsid w:val="000A08B9"/>
    <w:rsid w:val="000A0C35"/>
    <w:rsid w:val="000A1100"/>
    <w:rsid w:val="000A54EA"/>
    <w:rsid w:val="000A6783"/>
    <w:rsid w:val="000A7F58"/>
    <w:rsid w:val="000B0522"/>
    <w:rsid w:val="000B0766"/>
    <w:rsid w:val="000B15C5"/>
    <w:rsid w:val="000B17E3"/>
    <w:rsid w:val="000B1F49"/>
    <w:rsid w:val="000B2DA3"/>
    <w:rsid w:val="000B337D"/>
    <w:rsid w:val="000B41E1"/>
    <w:rsid w:val="000B4C8C"/>
    <w:rsid w:val="000B579F"/>
    <w:rsid w:val="000B60B6"/>
    <w:rsid w:val="000B7019"/>
    <w:rsid w:val="000B7660"/>
    <w:rsid w:val="000B77D5"/>
    <w:rsid w:val="000B7E5F"/>
    <w:rsid w:val="000C0234"/>
    <w:rsid w:val="000C1B9E"/>
    <w:rsid w:val="000C208C"/>
    <w:rsid w:val="000C389B"/>
    <w:rsid w:val="000C4A16"/>
    <w:rsid w:val="000C5550"/>
    <w:rsid w:val="000C68DE"/>
    <w:rsid w:val="000D0759"/>
    <w:rsid w:val="000D12BA"/>
    <w:rsid w:val="000D13D5"/>
    <w:rsid w:val="000D2213"/>
    <w:rsid w:val="000D347A"/>
    <w:rsid w:val="000D44F7"/>
    <w:rsid w:val="000D584E"/>
    <w:rsid w:val="000D5FCA"/>
    <w:rsid w:val="000D6C10"/>
    <w:rsid w:val="000D6F34"/>
    <w:rsid w:val="000D6F80"/>
    <w:rsid w:val="000E337B"/>
    <w:rsid w:val="000E41BF"/>
    <w:rsid w:val="000E44E0"/>
    <w:rsid w:val="000E5432"/>
    <w:rsid w:val="000E6473"/>
    <w:rsid w:val="000E71FD"/>
    <w:rsid w:val="000F09F7"/>
    <w:rsid w:val="000F227C"/>
    <w:rsid w:val="000F2B57"/>
    <w:rsid w:val="000F51F8"/>
    <w:rsid w:val="000F5B6B"/>
    <w:rsid w:val="000F6F6E"/>
    <w:rsid w:val="000F7392"/>
    <w:rsid w:val="00100151"/>
    <w:rsid w:val="001038D9"/>
    <w:rsid w:val="001044A5"/>
    <w:rsid w:val="00105581"/>
    <w:rsid w:val="00105D43"/>
    <w:rsid w:val="00105E81"/>
    <w:rsid w:val="00107796"/>
    <w:rsid w:val="00110F22"/>
    <w:rsid w:val="00111B2D"/>
    <w:rsid w:val="00113BBC"/>
    <w:rsid w:val="00114817"/>
    <w:rsid w:val="00121479"/>
    <w:rsid w:val="001222B4"/>
    <w:rsid w:val="00123839"/>
    <w:rsid w:val="00124508"/>
    <w:rsid w:val="001249D2"/>
    <w:rsid w:val="00124DDF"/>
    <w:rsid w:val="0013048B"/>
    <w:rsid w:val="0013063F"/>
    <w:rsid w:val="00131B9E"/>
    <w:rsid w:val="0013350F"/>
    <w:rsid w:val="00133610"/>
    <w:rsid w:val="0013387E"/>
    <w:rsid w:val="00134016"/>
    <w:rsid w:val="0013420A"/>
    <w:rsid w:val="0013562A"/>
    <w:rsid w:val="00135DF7"/>
    <w:rsid w:val="0013707B"/>
    <w:rsid w:val="001376A5"/>
    <w:rsid w:val="001402D0"/>
    <w:rsid w:val="001407DE"/>
    <w:rsid w:val="001419EB"/>
    <w:rsid w:val="001439A0"/>
    <w:rsid w:val="001467BE"/>
    <w:rsid w:val="00150D32"/>
    <w:rsid w:val="00151655"/>
    <w:rsid w:val="00151C29"/>
    <w:rsid w:val="001543AF"/>
    <w:rsid w:val="00156258"/>
    <w:rsid w:val="00157D0E"/>
    <w:rsid w:val="00157F25"/>
    <w:rsid w:val="00162078"/>
    <w:rsid w:val="00164053"/>
    <w:rsid w:val="00164314"/>
    <w:rsid w:val="00167CAF"/>
    <w:rsid w:val="00170169"/>
    <w:rsid w:val="00170E22"/>
    <w:rsid w:val="00171C7C"/>
    <w:rsid w:val="00171E84"/>
    <w:rsid w:val="0017342A"/>
    <w:rsid w:val="001740BE"/>
    <w:rsid w:val="00174B90"/>
    <w:rsid w:val="00174FE7"/>
    <w:rsid w:val="001761B4"/>
    <w:rsid w:val="00177A58"/>
    <w:rsid w:val="00177A80"/>
    <w:rsid w:val="0018111F"/>
    <w:rsid w:val="0018199C"/>
    <w:rsid w:val="0018394F"/>
    <w:rsid w:val="001849C1"/>
    <w:rsid w:val="0018684B"/>
    <w:rsid w:val="00186AA4"/>
    <w:rsid w:val="00186D82"/>
    <w:rsid w:val="00187982"/>
    <w:rsid w:val="0019400A"/>
    <w:rsid w:val="001A4EE9"/>
    <w:rsid w:val="001A68B2"/>
    <w:rsid w:val="001A77A9"/>
    <w:rsid w:val="001B46AC"/>
    <w:rsid w:val="001B47F5"/>
    <w:rsid w:val="001B488E"/>
    <w:rsid w:val="001B5817"/>
    <w:rsid w:val="001C0790"/>
    <w:rsid w:val="001C0D19"/>
    <w:rsid w:val="001C1EFE"/>
    <w:rsid w:val="001C2A80"/>
    <w:rsid w:val="001C2BCD"/>
    <w:rsid w:val="001C344F"/>
    <w:rsid w:val="001C3790"/>
    <w:rsid w:val="001C4AD6"/>
    <w:rsid w:val="001C4BD6"/>
    <w:rsid w:val="001C5182"/>
    <w:rsid w:val="001C62C1"/>
    <w:rsid w:val="001C7501"/>
    <w:rsid w:val="001D16B0"/>
    <w:rsid w:val="001D355A"/>
    <w:rsid w:val="001D581B"/>
    <w:rsid w:val="001D746C"/>
    <w:rsid w:val="001D7A6A"/>
    <w:rsid w:val="001D7F85"/>
    <w:rsid w:val="001E1401"/>
    <w:rsid w:val="001E142D"/>
    <w:rsid w:val="001E2072"/>
    <w:rsid w:val="001E238F"/>
    <w:rsid w:val="001E3556"/>
    <w:rsid w:val="001E6552"/>
    <w:rsid w:val="001E65BB"/>
    <w:rsid w:val="001E7EC5"/>
    <w:rsid w:val="001F3A6E"/>
    <w:rsid w:val="001F3F1C"/>
    <w:rsid w:val="001F7340"/>
    <w:rsid w:val="00200A54"/>
    <w:rsid w:val="00201227"/>
    <w:rsid w:val="00202734"/>
    <w:rsid w:val="00202EC1"/>
    <w:rsid w:val="00202F85"/>
    <w:rsid w:val="00206083"/>
    <w:rsid w:val="0020612E"/>
    <w:rsid w:val="0020645B"/>
    <w:rsid w:val="002069F5"/>
    <w:rsid w:val="00207F6A"/>
    <w:rsid w:val="00211623"/>
    <w:rsid w:val="002148CE"/>
    <w:rsid w:val="00214CC1"/>
    <w:rsid w:val="00214CD7"/>
    <w:rsid w:val="00215283"/>
    <w:rsid w:val="00215D7B"/>
    <w:rsid w:val="00216641"/>
    <w:rsid w:val="00216E94"/>
    <w:rsid w:val="00216F6B"/>
    <w:rsid w:val="002206FA"/>
    <w:rsid w:val="00220D5B"/>
    <w:rsid w:val="00221545"/>
    <w:rsid w:val="00222ACC"/>
    <w:rsid w:val="00226F06"/>
    <w:rsid w:val="00227E13"/>
    <w:rsid w:val="00230F34"/>
    <w:rsid w:val="00231F57"/>
    <w:rsid w:val="00232CE9"/>
    <w:rsid w:val="0023370A"/>
    <w:rsid w:val="00234D15"/>
    <w:rsid w:val="0023505F"/>
    <w:rsid w:val="002350CE"/>
    <w:rsid w:val="00235C21"/>
    <w:rsid w:val="002402D4"/>
    <w:rsid w:val="00241135"/>
    <w:rsid w:val="0024308B"/>
    <w:rsid w:val="002448FA"/>
    <w:rsid w:val="002456BE"/>
    <w:rsid w:val="00246DCA"/>
    <w:rsid w:val="0024734C"/>
    <w:rsid w:val="00250241"/>
    <w:rsid w:val="00250C64"/>
    <w:rsid w:val="002512B8"/>
    <w:rsid w:val="0025142F"/>
    <w:rsid w:val="00252C41"/>
    <w:rsid w:val="002539C0"/>
    <w:rsid w:val="00261214"/>
    <w:rsid w:val="00262856"/>
    <w:rsid w:val="00262E16"/>
    <w:rsid w:val="00264EE8"/>
    <w:rsid w:val="0026502A"/>
    <w:rsid w:val="00266B97"/>
    <w:rsid w:val="002716A7"/>
    <w:rsid w:val="00273F5B"/>
    <w:rsid w:val="002751DA"/>
    <w:rsid w:val="00275AC8"/>
    <w:rsid w:val="00276200"/>
    <w:rsid w:val="0027639A"/>
    <w:rsid w:val="00276881"/>
    <w:rsid w:val="00277A91"/>
    <w:rsid w:val="00277E6B"/>
    <w:rsid w:val="00281382"/>
    <w:rsid w:val="00281F47"/>
    <w:rsid w:val="00283200"/>
    <w:rsid w:val="0028342B"/>
    <w:rsid w:val="00286DE4"/>
    <w:rsid w:val="00286FA9"/>
    <w:rsid w:val="002871F2"/>
    <w:rsid w:val="00287BB7"/>
    <w:rsid w:val="0029238E"/>
    <w:rsid w:val="0029663B"/>
    <w:rsid w:val="002967F4"/>
    <w:rsid w:val="002A103D"/>
    <w:rsid w:val="002A1348"/>
    <w:rsid w:val="002A3F01"/>
    <w:rsid w:val="002A4604"/>
    <w:rsid w:val="002A5F14"/>
    <w:rsid w:val="002B053B"/>
    <w:rsid w:val="002B08D9"/>
    <w:rsid w:val="002B2848"/>
    <w:rsid w:val="002B29C1"/>
    <w:rsid w:val="002B29E3"/>
    <w:rsid w:val="002B437F"/>
    <w:rsid w:val="002B48F6"/>
    <w:rsid w:val="002B4B99"/>
    <w:rsid w:val="002B4F4A"/>
    <w:rsid w:val="002B65F5"/>
    <w:rsid w:val="002B6F55"/>
    <w:rsid w:val="002B7239"/>
    <w:rsid w:val="002C0E5A"/>
    <w:rsid w:val="002C15BC"/>
    <w:rsid w:val="002C23CB"/>
    <w:rsid w:val="002C373D"/>
    <w:rsid w:val="002C62CD"/>
    <w:rsid w:val="002C770D"/>
    <w:rsid w:val="002D52DB"/>
    <w:rsid w:val="002D5389"/>
    <w:rsid w:val="002D5638"/>
    <w:rsid w:val="002D5E46"/>
    <w:rsid w:val="002D6312"/>
    <w:rsid w:val="002D69AE"/>
    <w:rsid w:val="002D6F27"/>
    <w:rsid w:val="002E04EB"/>
    <w:rsid w:val="002E3C2D"/>
    <w:rsid w:val="002E4B19"/>
    <w:rsid w:val="002F04B3"/>
    <w:rsid w:val="002F17F0"/>
    <w:rsid w:val="002F39AC"/>
    <w:rsid w:val="002F4CEA"/>
    <w:rsid w:val="002F51DF"/>
    <w:rsid w:val="002F542A"/>
    <w:rsid w:val="002F572F"/>
    <w:rsid w:val="002F6966"/>
    <w:rsid w:val="00300342"/>
    <w:rsid w:val="003004F8"/>
    <w:rsid w:val="0030079A"/>
    <w:rsid w:val="0030119E"/>
    <w:rsid w:val="003027EB"/>
    <w:rsid w:val="00302B2A"/>
    <w:rsid w:val="003031FF"/>
    <w:rsid w:val="00303B07"/>
    <w:rsid w:val="0030536A"/>
    <w:rsid w:val="00306C49"/>
    <w:rsid w:val="00310CE3"/>
    <w:rsid w:val="00310F03"/>
    <w:rsid w:val="0031277A"/>
    <w:rsid w:val="0031308F"/>
    <w:rsid w:val="003133F0"/>
    <w:rsid w:val="00313EB9"/>
    <w:rsid w:val="00316F9F"/>
    <w:rsid w:val="003213D2"/>
    <w:rsid w:val="00325ED3"/>
    <w:rsid w:val="0032614C"/>
    <w:rsid w:val="003262F5"/>
    <w:rsid w:val="00326F32"/>
    <w:rsid w:val="00327A73"/>
    <w:rsid w:val="00331283"/>
    <w:rsid w:val="003322BD"/>
    <w:rsid w:val="00333C45"/>
    <w:rsid w:val="00336DD7"/>
    <w:rsid w:val="00340A62"/>
    <w:rsid w:val="00341CDD"/>
    <w:rsid w:val="00342533"/>
    <w:rsid w:val="00342598"/>
    <w:rsid w:val="003439A0"/>
    <w:rsid w:val="003476AF"/>
    <w:rsid w:val="00350C45"/>
    <w:rsid w:val="00350D02"/>
    <w:rsid w:val="003540C0"/>
    <w:rsid w:val="00355654"/>
    <w:rsid w:val="00355FB5"/>
    <w:rsid w:val="00360213"/>
    <w:rsid w:val="003603B2"/>
    <w:rsid w:val="00361C47"/>
    <w:rsid w:val="003641B6"/>
    <w:rsid w:val="0036544A"/>
    <w:rsid w:val="00366D68"/>
    <w:rsid w:val="003735C5"/>
    <w:rsid w:val="003737B8"/>
    <w:rsid w:val="00374DE6"/>
    <w:rsid w:val="00375965"/>
    <w:rsid w:val="00376C79"/>
    <w:rsid w:val="0037719B"/>
    <w:rsid w:val="0038054C"/>
    <w:rsid w:val="00382553"/>
    <w:rsid w:val="00382911"/>
    <w:rsid w:val="00383370"/>
    <w:rsid w:val="00383AE0"/>
    <w:rsid w:val="00384919"/>
    <w:rsid w:val="00386C3D"/>
    <w:rsid w:val="00387788"/>
    <w:rsid w:val="00387A43"/>
    <w:rsid w:val="00390617"/>
    <w:rsid w:val="00391151"/>
    <w:rsid w:val="003923C5"/>
    <w:rsid w:val="003929D4"/>
    <w:rsid w:val="00392F76"/>
    <w:rsid w:val="0039510E"/>
    <w:rsid w:val="003951FE"/>
    <w:rsid w:val="00396063"/>
    <w:rsid w:val="003962D8"/>
    <w:rsid w:val="00397C13"/>
    <w:rsid w:val="003A10CC"/>
    <w:rsid w:val="003A2AE2"/>
    <w:rsid w:val="003A4475"/>
    <w:rsid w:val="003A47DC"/>
    <w:rsid w:val="003A4917"/>
    <w:rsid w:val="003A501F"/>
    <w:rsid w:val="003A58A5"/>
    <w:rsid w:val="003A62D9"/>
    <w:rsid w:val="003A7B07"/>
    <w:rsid w:val="003B07AB"/>
    <w:rsid w:val="003B2430"/>
    <w:rsid w:val="003B245C"/>
    <w:rsid w:val="003B3F59"/>
    <w:rsid w:val="003B4727"/>
    <w:rsid w:val="003B554B"/>
    <w:rsid w:val="003C0150"/>
    <w:rsid w:val="003C22EC"/>
    <w:rsid w:val="003C7A2D"/>
    <w:rsid w:val="003D01F0"/>
    <w:rsid w:val="003D12A0"/>
    <w:rsid w:val="003D1922"/>
    <w:rsid w:val="003D1A90"/>
    <w:rsid w:val="003D4C29"/>
    <w:rsid w:val="003D58DF"/>
    <w:rsid w:val="003D62EB"/>
    <w:rsid w:val="003D7CCC"/>
    <w:rsid w:val="003E078C"/>
    <w:rsid w:val="003E2072"/>
    <w:rsid w:val="003E20A0"/>
    <w:rsid w:val="003E27D0"/>
    <w:rsid w:val="003E39F8"/>
    <w:rsid w:val="003E40D5"/>
    <w:rsid w:val="003E5888"/>
    <w:rsid w:val="003F16F6"/>
    <w:rsid w:val="003F1DAC"/>
    <w:rsid w:val="003F234C"/>
    <w:rsid w:val="003F5D0B"/>
    <w:rsid w:val="003F7209"/>
    <w:rsid w:val="003F7D26"/>
    <w:rsid w:val="00400C1F"/>
    <w:rsid w:val="00401E22"/>
    <w:rsid w:val="00402397"/>
    <w:rsid w:val="00403808"/>
    <w:rsid w:val="00403F3F"/>
    <w:rsid w:val="00404D3D"/>
    <w:rsid w:val="00405C9E"/>
    <w:rsid w:val="004072E7"/>
    <w:rsid w:val="00411B8D"/>
    <w:rsid w:val="004131A3"/>
    <w:rsid w:val="004149B0"/>
    <w:rsid w:val="00417899"/>
    <w:rsid w:val="004202DA"/>
    <w:rsid w:val="00420B10"/>
    <w:rsid w:val="00420FD9"/>
    <w:rsid w:val="0042277B"/>
    <w:rsid w:val="00424194"/>
    <w:rsid w:val="004249D4"/>
    <w:rsid w:val="00425BDC"/>
    <w:rsid w:val="00432E4B"/>
    <w:rsid w:val="00433470"/>
    <w:rsid w:val="00433FC1"/>
    <w:rsid w:val="00434EAD"/>
    <w:rsid w:val="00434F2A"/>
    <w:rsid w:val="00435E82"/>
    <w:rsid w:val="0043729C"/>
    <w:rsid w:val="004411B4"/>
    <w:rsid w:val="00441B1C"/>
    <w:rsid w:val="00441F1F"/>
    <w:rsid w:val="00444FB0"/>
    <w:rsid w:val="0044519B"/>
    <w:rsid w:val="00447F87"/>
    <w:rsid w:val="00452420"/>
    <w:rsid w:val="00453679"/>
    <w:rsid w:val="00453A32"/>
    <w:rsid w:val="004544A2"/>
    <w:rsid w:val="00455629"/>
    <w:rsid w:val="00457696"/>
    <w:rsid w:val="00460955"/>
    <w:rsid w:val="00461354"/>
    <w:rsid w:val="004631B7"/>
    <w:rsid w:val="004641F5"/>
    <w:rsid w:val="00465E23"/>
    <w:rsid w:val="00466A09"/>
    <w:rsid w:val="00472C31"/>
    <w:rsid w:val="00473081"/>
    <w:rsid w:val="00475C5B"/>
    <w:rsid w:val="00477664"/>
    <w:rsid w:val="00477E80"/>
    <w:rsid w:val="0048027B"/>
    <w:rsid w:val="0048084A"/>
    <w:rsid w:val="004810FD"/>
    <w:rsid w:val="00481AF4"/>
    <w:rsid w:val="004822C1"/>
    <w:rsid w:val="00483301"/>
    <w:rsid w:val="0048536D"/>
    <w:rsid w:val="00486A59"/>
    <w:rsid w:val="004872E0"/>
    <w:rsid w:val="004874D2"/>
    <w:rsid w:val="004878DB"/>
    <w:rsid w:val="00487D34"/>
    <w:rsid w:val="00487F8A"/>
    <w:rsid w:val="004907A8"/>
    <w:rsid w:val="004907CF"/>
    <w:rsid w:val="004907FB"/>
    <w:rsid w:val="00490A63"/>
    <w:rsid w:val="00491595"/>
    <w:rsid w:val="004919B5"/>
    <w:rsid w:val="004932EF"/>
    <w:rsid w:val="00493538"/>
    <w:rsid w:val="004938F1"/>
    <w:rsid w:val="00494704"/>
    <w:rsid w:val="004A1580"/>
    <w:rsid w:val="004A2280"/>
    <w:rsid w:val="004A235E"/>
    <w:rsid w:val="004A2B88"/>
    <w:rsid w:val="004A336C"/>
    <w:rsid w:val="004A3393"/>
    <w:rsid w:val="004A372B"/>
    <w:rsid w:val="004A5180"/>
    <w:rsid w:val="004A52C9"/>
    <w:rsid w:val="004A5556"/>
    <w:rsid w:val="004A63BC"/>
    <w:rsid w:val="004A6D6A"/>
    <w:rsid w:val="004A778A"/>
    <w:rsid w:val="004B04B1"/>
    <w:rsid w:val="004B06A1"/>
    <w:rsid w:val="004B1B23"/>
    <w:rsid w:val="004B1BB1"/>
    <w:rsid w:val="004B4027"/>
    <w:rsid w:val="004B442E"/>
    <w:rsid w:val="004B4589"/>
    <w:rsid w:val="004B4937"/>
    <w:rsid w:val="004B4969"/>
    <w:rsid w:val="004B7D20"/>
    <w:rsid w:val="004C0125"/>
    <w:rsid w:val="004C122C"/>
    <w:rsid w:val="004C13AA"/>
    <w:rsid w:val="004C3D31"/>
    <w:rsid w:val="004C4942"/>
    <w:rsid w:val="004C57B6"/>
    <w:rsid w:val="004D2713"/>
    <w:rsid w:val="004D2B8F"/>
    <w:rsid w:val="004D3062"/>
    <w:rsid w:val="004D35C4"/>
    <w:rsid w:val="004D48BD"/>
    <w:rsid w:val="004D59DD"/>
    <w:rsid w:val="004E07FF"/>
    <w:rsid w:val="004E0A3F"/>
    <w:rsid w:val="004E1279"/>
    <w:rsid w:val="004E12E7"/>
    <w:rsid w:val="004E3B3C"/>
    <w:rsid w:val="004E3F55"/>
    <w:rsid w:val="004E4C54"/>
    <w:rsid w:val="004E5602"/>
    <w:rsid w:val="004E650A"/>
    <w:rsid w:val="004E6706"/>
    <w:rsid w:val="004E773A"/>
    <w:rsid w:val="004F0207"/>
    <w:rsid w:val="004F1941"/>
    <w:rsid w:val="004F1F5A"/>
    <w:rsid w:val="004F1FCC"/>
    <w:rsid w:val="004F2CC7"/>
    <w:rsid w:val="004F5DCD"/>
    <w:rsid w:val="004F5FD7"/>
    <w:rsid w:val="004F71E2"/>
    <w:rsid w:val="004F79B0"/>
    <w:rsid w:val="0050198B"/>
    <w:rsid w:val="00501C7B"/>
    <w:rsid w:val="00503257"/>
    <w:rsid w:val="005038FD"/>
    <w:rsid w:val="00503C10"/>
    <w:rsid w:val="0050460E"/>
    <w:rsid w:val="00505DB5"/>
    <w:rsid w:val="00507013"/>
    <w:rsid w:val="00507593"/>
    <w:rsid w:val="00507931"/>
    <w:rsid w:val="005127A3"/>
    <w:rsid w:val="0051319E"/>
    <w:rsid w:val="00514D47"/>
    <w:rsid w:val="00515117"/>
    <w:rsid w:val="00517066"/>
    <w:rsid w:val="0052001F"/>
    <w:rsid w:val="00520B2D"/>
    <w:rsid w:val="005234A1"/>
    <w:rsid w:val="00523E30"/>
    <w:rsid w:val="005247C9"/>
    <w:rsid w:val="00526967"/>
    <w:rsid w:val="0053103E"/>
    <w:rsid w:val="005314FC"/>
    <w:rsid w:val="00533D23"/>
    <w:rsid w:val="00534AC2"/>
    <w:rsid w:val="00537184"/>
    <w:rsid w:val="00537B98"/>
    <w:rsid w:val="00540E9A"/>
    <w:rsid w:val="00541522"/>
    <w:rsid w:val="00541CF5"/>
    <w:rsid w:val="00550261"/>
    <w:rsid w:val="00550B0F"/>
    <w:rsid w:val="00551AA0"/>
    <w:rsid w:val="00551B1B"/>
    <w:rsid w:val="00552898"/>
    <w:rsid w:val="00552A54"/>
    <w:rsid w:val="0055529A"/>
    <w:rsid w:val="00557675"/>
    <w:rsid w:val="0056069A"/>
    <w:rsid w:val="00561A46"/>
    <w:rsid w:val="00562977"/>
    <w:rsid w:val="00562E48"/>
    <w:rsid w:val="005675A4"/>
    <w:rsid w:val="00567643"/>
    <w:rsid w:val="0057149A"/>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50E"/>
    <w:rsid w:val="005958E5"/>
    <w:rsid w:val="005969E7"/>
    <w:rsid w:val="00596E11"/>
    <w:rsid w:val="005A116A"/>
    <w:rsid w:val="005A22F1"/>
    <w:rsid w:val="005A2304"/>
    <w:rsid w:val="005A2398"/>
    <w:rsid w:val="005A2EB2"/>
    <w:rsid w:val="005A38E2"/>
    <w:rsid w:val="005A4AB8"/>
    <w:rsid w:val="005A5DAC"/>
    <w:rsid w:val="005A796C"/>
    <w:rsid w:val="005A7CD4"/>
    <w:rsid w:val="005B1CE9"/>
    <w:rsid w:val="005B2DC8"/>
    <w:rsid w:val="005B30D7"/>
    <w:rsid w:val="005B3219"/>
    <w:rsid w:val="005B55F2"/>
    <w:rsid w:val="005B5659"/>
    <w:rsid w:val="005B63C3"/>
    <w:rsid w:val="005B6585"/>
    <w:rsid w:val="005B6C14"/>
    <w:rsid w:val="005B76C8"/>
    <w:rsid w:val="005B7A67"/>
    <w:rsid w:val="005B7CA2"/>
    <w:rsid w:val="005B7E7F"/>
    <w:rsid w:val="005C00A5"/>
    <w:rsid w:val="005C2D88"/>
    <w:rsid w:val="005C3BA4"/>
    <w:rsid w:val="005C46AA"/>
    <w:rsid w:val="005C7DDE"/>
    <w:rsid w:val="005D1B6D"/>
    <w:rsid w:val="005D2C70"/>
    <w:rsid w:val="005D2D22"/>
    <w:rsid w:val="005D2F46"/>
    <w:rsid w:val="005D31BC"/>
    <w:rsid w:val="005D59E4"/>
    <w:rsid w:val="005D64C7"/>
    <w:rsid w:val="005D68AF"/>
    <w:rsid w:val="005D6E37"/>
    <w:rsid w:val="005E0522"/>
    <w:rsid w:val="005E1AD8"/>
    <w:rsid w:val="005E1E6B"/>
    <w:rsid w:val="005E2BFC"/>
    <w:rsid w:val="005E4DA8"/>
    <w:rsid w:val="005E725B"/>
    <w:rsid w:val="005F02CB"/>
    <w:rsid w:val="005F0A8D"/>
    <w:rsid w:val="005F0DA4"/>
    <w:rsid w:val="005F1E7B"/>
    <w:rsid w:val="005F679A"/>
    <w:rsid w:val="005F6B13"/>
    <w:rsid w:val="005F7A18"/>
    <w:rsid w:val="00600B7D"/>
    <w:rsid w:val="00602EC6"/>
    <w:rsid w:val="00603355"/>
    <w:rsid w:val="00603E26"/>
    <w:rsid w:val="006049B6"/>
    <w:rsid w:val="00607064"/>
    <w:rsid w:val="0060759E"/>
    <w:rsid w:val="00607B89"/>
    <w:rsid w:val="00607CAE"/>
    <w:rsid w:val="00610D15"/>
    <w:rsid w:val="00613A54"/>
    <w:rsid w:val="00613B3E"/>
    <w:rsid w:val="0061474B"/>
    <w:rsid w:val="00615B49"/>
    <w:rsid w:val="00616679"/>
    <w:rsid w:val="00620559"/>
    <w:rsid w:val="00620CBB"/>
    <w:rsid w:val="00620EEF"/>
    <w:rsid w:val="00622203"/>
    <w:rsid w:val="00623235"/>
    <w:rsid w:val="00623FD6"/>
    <w:rsid w:val="00624D75"/>
    <w:rsid w:val="0062546E"/>
    <w:rsid w:val="00625741"/>
    <w:rsid w:val="00625F43"/>
    <w:rsid w:val="00630603"/>
    <w:rsid w:val="00630B3F"/>
    <w:rsid w:val="00630B73"/>
    <w:rsid w:val="00630DCE"/>
    <w:rsid w:val="006313D9"/>
    <w:rsid w:val="006319F1"/>
    <w:rsid w:val="0063239D"/>
    <w:rsid w:val="00634638"/>
    <w:rsid w:val="00634C80"/>
    <w:rsid w:val="0063553E"/>
    <w:rsid w:val="00640F7C"/>
    <w:rsid w:val="00641BC7"/>
    <w:rsid w:val="00642758"/>
    <w:rsid w:val="0064545F"/>
    <w:rsid w:val="0064586E"/>
    <w:rsid w:val="00646451"/>
    <w:rsid w:val="00646D39"/>
    <w:rsid w:val="00646E96"/>
    <w:rsid w:val="00652CEB"/>
    <w:rsid w:val="006534CE"/>
    <w:rsid w:val="00653EA4"/>
    <w:rsid w:val="00654390"/>
    <w:rsid w:val="00656D81"/>
    <w:rsid w:val="00657380"/>
    <w:rsid w:val="006573FC"/>
    <w:rsid w:val="0065761D"/>
    <w:rsid w:val="006601BF"/>
    <w:rsid w:val="00660789"/>
    <w:rsid w:val="00660EBB"/>
    <w:rsid w:val="00661B52"/>
    <w:rsid w:val="00662835"/>
    <w:rsid w:val="006628B0"/>
    <w:rsid w:val="00663237"/>
    <w:rsid w:val="0066411E"/>
    <w:rsid w:val="006664AF"/>
    <w:rsid w:val="00666C4D"/>
    <w:rsid w:val="00667D19"/>
    <w:rsid w:val="00673211"/>
    <w:rsid w:val="0067352A"/>
    <w:rsid w:val="00674764"/>
    <w:rsid w:val="00674D62"/>
    <w:rsid w:val="006773C2"/>
    <w:rsid w:val="0067753F"/>
    <w:rsid w:val="00682B44"/>
    <w:rsid w:val="006832BC"/>
    <w:rsid w:val="00683BB5"/>
    <w:rsid w:val="00683E41"/>
    <w:rsid w:val="00684FC9"/>
    <w:rsid w:val="0068521D"/>
    <w:rsid w:val="00687216"/>
    <w:rsid w:val="00687D6E"/>
    <w:rsid w:val="0069042C"/>
    <w:rsid w:val="006935EF"/>
    <w:rsid w:val="00693623"/>
    <w:rsid w:val="00693C71"/>
    <w:rsid w:val="006962A3"/>
    <w:rsid w:val="00697754"/>
    <w:rsid w:val="00697FD4"/>
    <w:rsid w:val="006A019D"/>
    <w:rsid w:val="006A2DE4"/>
    <w:rsid w:val="006A3693"/>
    <w:rsid w:val="006A4A0C"/>
    <w:rsid w:val="006A5EE1"/>
    <w:rsid w:val="006A6E12"/>
    <w:rsid w:val="006B18C6"/>
    <w:rsid w:val="006B22EB"/>
    <w:rsid w:val="006B2BAC"/>
    <w:rsid w:val="006B31FC"/>
    <w:rsid w:val="006B4995"/>
    <w:rsid w:val="006B62A7"/>
    <w:rsid w:val="006C0898"/>
    <w:rsid w:val="006C4E47"/>
    <w:rsid w:val="006C504E"/>
    <w:rsid w:val="006C5C56"/>
    <w:rsid w:val="006C6DE5"/>
    <w:rsid w:val="006D0831"/>
    <w:rsid w:val="006D0856"/>
    <w:rsid w:val="006D4F28"/>
    <w:rsid w:val="006D730E"/>
    <w:rsid w:val="006E0F37"/>
    <w:rsid w:val="006E177D"/>
    <w:rsid w:val="006E1900"/>
    <w:rsid w:val="006E2C1B"/>
    <w:rsid w:val="006E4270"/>
    <w:rsid w:val="006E45C9"/>
    <w:rsid w:val="006E6BC1"/>
    <w:rsid w:val="006E78E9"/>
    <w:rsid w:val="006E7E3B"/>
    <w:rsid w:val="006F04A4"/>
    <w:rsid w:val="006F057E"/>
    <w:rsid w:val="006F1D51"/>
    <w:rsid w:val="006F3DE4"/>
    <w:rsid w:val="006F4ED2"/>
    <w:rsid w:val="006F5918"/>
    <w:rsid w:val="006F5EE1"/>
    <w:rsid w:val="006F7AEA"/>
    <w:rsid w:val="00700959"/>
    <w:rsid w:val="00700A2A"/>
    <w:rsid w:val="00700CD3"/>
    <w:rsid w:val="0070172E"/>
    <w:rsid w:val="00702233"/>
    <w:rsid w:val="0070266D"/>
    <w:rsid w:val="00704EF7"/>
    <w:rsid w:val="00705A45"/>
    <w:rsid w:val="007065B9"/>
    <w:rsid w:val="00711643"/>
    <w:rsid w:val="00711C34"/>
    <w:rsid w:val="007156EF"/>
    <w:rsid w:val="00715E82"/>
    <w:rsid w:val="0071627E"/>
    <w:rsid w:val="00722835"/>
    <w:rsid w:val="00722A06"/>
    <w:rsid w:val="00725E1A"/>
    <w:rsid w:val="00726FB9"/>
    <w:rsid w:val="00727473"/>
    <w:rsid w:val="00727B33"/>
    <w:rsid w:val="00731941"/>
    <w:rsid w:val="00732BB6"/>
    <w:rsid w:val="0073368C"/>
    <w:rsid w:val="0073403A"/>
    <w:rsid w:val="0073416C"/>
    <w:rsid w:val="0073534B"/>
    <w:rsid w:val="007366ED"/>
    <w:rsid w:val="00740C14"/>
    <w:rsid w:val="00740D4E"/>
    <w:rsid w:val="007413C2"/>
    <w:rsid w:val="007416F6"/>
    <w:rsid w:val="00742F86"/>
    <w:rsid w:val="00743342"/>
    <w:rsid w:val="007435D0"/>
    <w:rsid w:val="00744EA7"/>
    <w:rsid w:val="0074687C"/>
    <w:rsid w:val="00746AA7"/>
    <w:rsid w:val="00750ECB"/>
    <w:rsid w:val="00751145"/>
    <w:rsid w:val="007545C1"/>
    <w:rsid w:val="00755776"/>
    <w:rsid w:val="00755A72"/>
    <w:rsid w:val="00755D16"/>
    <w:rsid w:val="0075641E"/>
    <w:rsid w:val="00760714"/>
    <w:rsid w:val="00761607"/>
    <w:rsid w:val="00762D70"/>
    <w:rsid w:val="00764190"/>
    <w:rsid w:val="007650EF"/>
    <w:rsid w:val="007653F4"/>
    <w:rsid w:val="00766541"/>
    <w:rsid w:val="00766754"/>
    <w:rsid w:val="00767172"/>
    <w:rsid w:val="0077127D"/>
    <w:rsid w:val="0077359F"/>
    <w:rsid w:val="0077418C"/>
    <w:rsid w:val="00777349"/>
    <w:rsid w:val="00777871"/>
    <w:rsid w:val="00777D95"/>
    <w:rsid w:val="007806D1"/>
    <w:rsid w:val="00780BFF"/>
    <w:rsid w:val="00781F1D"/>
    <w:rsid w:val="00782609"/>
    <w:rsid w:val="007838B0"/>
    <w:rsid w:val="00783E55"/>
    <w:rsid w:val="0078606E"/>
    <w:rsid w:val="007868BA"/>
    <w:rsid w:val="00786C2F"/>
    <w:rsid w:val="00786C77"/>
    <w:rsid w:val="0078736A"/>
    <w:rsid w:val="007877C7"/>
    <w:rsid w:val="0079043D"/>
    <w:rsid w:val="00792636"/>
    <w:rsid w:val="00793FC5"/>
    <w:rsid w:val="00794025"/>
    <w:rsid w:val="0079496C"/>
    <w:rsid w:val="007951B3"/>
    <w:rsid w:val="00795A7D"/>
    <w:rsid w:val="007A0047"/>
    <w:rsid w:val="007A091B"/>
    <w:rsid w:val="007A0E59"/>
    <w:rsid w:val="007A3E12"/>
    <w:rsid w:val="007A484E"/>
    <w:rsid w:val="007A4B18"/>
    <w:rsid w:val="007A525F"/>
    <w:rsid w:val="007A79CA"/>
    <w:rsid w:val="007A7EF6"/>
    <w:rsid w:val="007B161A"/>
    <w:rsid w:val="007B1A96"/>
    <w:rsid w:val="007B21F5"/>
    <w:rsid w:val="007B2BB1"/>
    <w:rsid w:val="007B2D1A"/>
    <w:rsid w:val="007B7CD5"/>
    <w:rsid w:val="007C0823"/>
    <w:rsid w:val="007C1AD5"/>
    <w:rsid w:val="007C3A02"/>
    <w:rsid w:val="007C3FD8"/>
    <w:rsid w:val="007C47FF"/>
    <w:rsid w:val="007C62B2"/>
    <w:rsid w:val="007C6C9C"/>
    <w:rsid w:val="007D0127"/>
    <w:rsid w:val="007D086C"/>
    <w:rsid w:val="007D0912"/>
    <w:rsid w:val="007D125E"/>
    <w:rsid w:val="007D2128"/>
    <w:rsid w:val="007D2728"/>
    <w:rsid w:val="007D39D4"/>
    <w:rsid w:val="007D3D66"/>
    <w:rsid w:val="007D47EA"/>
    <w:rsid w:val="007D5AE8"/>
    <w:rsid w:val="007D722A"/>
    <w:rsid w:val="007E1E68"/>
    <w:rsid w:val="007E2748"/>
    <w:rsid w:val="007E2C7A"/>
    <w:rsid w:val="007E3642"/>
    <w:rsid w:val="007E3F28"/>
    <w:rsid w:val="007E495F"/>
    <w:rsid w:val="007E683E"/>
    <w:rsid w:val="007E6863"/>
    <w:rsid w:val="007F04F8"/>
    <w:rsid w:val="007F053A"/>
    <w:rsid w:val="007F1EFD"/>
    <w:rsid w:val="007F3244"/>
    <w:rsid w:val="007F57C6"/>
    <w:rsid w:val="007F6861"/>
    <w:rsid w:val="0080056F"/>
    <w:rsid w:val="00800AE7"/>
    <w:rsid w:val="00801A26"/>
    <w:rsid w:val="00802976"/>
    <w:rsid w:val="008049CC"/>
    <w:rsid w:val="00804AD1"/>
    <w:rsid w:val="0080537C"/>
    <w:rsid w:val="00805F89"/>
    <w:rsid w:val="00806AF0"/>
    <w:rsid w:val="00810F5A"/>
    <w:rsid w:val="00815F3C"/>
    <w:rsid w:val="00821BB5"/>
    <w:rsid w:val="0082334C"/>
    <w:rsid w:val="0082362B"/>
    <w:rsid w:val="00823E76"/>
    <w:rsid w:val="008240E8"/>
    <w:rsid w:val="00824973"/>
    <w:rsid w:val="0082533F"/>
    <w:rsid w:val="00825E59"/>
    <w:rsid w:val="00830098"/>
    <w:rsid w:val="00830F03"/>
    <w:rsid w:val="008336E4"/>
    <w:rsid w:val="008338AE"/>
    <w:rsid w:val="00834523"/>
    <w:rsid w:val="00835C9A"/>
    <w:rsid w:val="00835DB2"/>
    <w:rsid w:val="00836066"/>
    <w:rsid w:val="0083696D"/>
    <w:rsid w:val="00837122"/>
    <w:rsid w:val="00840879"/>
    <w:rsid w:val="008420E2"/>
    <w:rsid w:val="00842442"/>
    <w:rsid w:val="00842E38"/>
    <w:rsid w:val="00844F33"/>
    <w:rsid w:val="00845EEB"/>
    <w:rsid w:val="00846DED"/>
    <w:rsid w:val="0084732F"/>
    <w:rsid w:val="00847485"/>
    <w:rsid w:val="008527ED"/>
    <w:rsid w:val="00852EAA"/>
    <w:rsid w:val="00853326"/>
    <w:rsid w:val="008539A7"/>
    <w:rsid w:val="00856D99"/>
    <w:rsid w:val="008602B3"/>
    <w:rsid w:val="00860E1A"/>
    <w:rsid w:val="0086138A"/>
    <w:rsid w:val="008618D2"/>
    <w:rsid w:val="00861AF5"/>
    <w:rsid w:val="0086320B"/>
    <w:rsid w:val="00863767"/>
    <w:rsid w:val="00863F00"/>
    <w:rsid w:val="00865168"/>
    <w:rsid w:val="008657DD"/>
    <w:rsid w:val="00865D08"/>
    <w:rsid w:val="0087005F"/>
    <w:rsid w:val="00871855"/>
    <w:rsid w:val="00872E08"/>
    <w:rsid w:val="00873045"/>
    <w:rsid w:val="0087484A"/>
    <w:rsid w:val="00876AAE"/>
    <w:rsid w:val="00877CBD"/>
    <w:rsid w:val="00880546"/>
    <w:rsid w:val="008821A6"/>
    <w:rsid w:val="008857A3"/>
    <w:rsid w:val="00886123"/>
    <w:rsid w:val="0088675B"/>
    <w:rsid w:val="00887C66"/>
    <w:rsid w:val="00891B84"/>
    <w:rsid w:val="008929F2"/>
    <w:rsid w:val="0089714B"/>
    <w:rsid w:val="00897851"/>
    <w:rsid w:val="00897F79"/>
    <w:rsid w:val="008A07E8"/>
    <w:rsid w:val="008A1A17"/>
    <w:rsid w:val="008A3B45"/>
    <w:rsid w:val="008A467C"/>
    <w:rsid w:val="008A471D"/>
    <w:rsid w:val="008A67AB"/>
    <w:rsid w:val="008A75AB"/>
    <w:rsid w:val="008B189F"/>
    <w:rsid w:val="008B1AC1"/>
    <w:rsid w:val="008B2105"/>
    <w:rsid w:val="008B2456"/>
    <w:rsid w:val="008B31A9"/>
    <w:rsid w:val="008B3346"/>
    <w:rsid w:val="008B4BD5"/>
    <w:rsid w:val="008B67A8"/>
    <w:rsid w:val="008C1E4B"/>
    <w:rsid w:val="008C2309"/>
    <w:rsid w:val="008C243E"/>
    <w:rsid w:val="008C2882"/>
    <w:rsid w:val="008C2C08"/>
    <w:rsid w:val="008C3A17"/>
    <w:rsid w:val="008C41AB"/>
    <w:rsid w:val="008C4718"/>
    <w:rsid w:val="008C5410"/>
    <w:rsid w:val="008C745C"/>
    <w:rsid w:val="008C7D2E"/>
    <w:rsid w:val="008D1D5D"/>
    <w:rsid w:val="008D21A8"/>
    <w:rsid w:val="008D25F6"/>
    <w:rsid w:val="008D420E"/>
    <w:rsid w:val="008D6C0E"/>
    <w:rsid w:val="008E0855"/>
    <w:rsid w:val="008E0B06"/>
    <w:rsid w:val="008E4C7A"/>
    <w:rsid w:val="008E575F"/>
    <w:rsid w:val="008E6C48"/>
    <w:rsid w:val="008E78AC"/>
    <w:rsid w:val="008E7C0A"/>
    <w:rsid w:val="008F1977"/>
    <w:rsid w:val="008F5468"/>
    <w:rsid w:val="008F68A8"/>
    <w:rsid w:val="008F754E"/>
    <w:rsid w:val="008F76E5"/>
    <w:rsid w:val="009017DB"/>
    <w:rsid w:val="00902EA6"/>
    <w:rsid w:val="00903311"/>
    <w:rsid w:val="009038DC"/>
    <w:rsid w:val="009046E7"/>
    <w:rsid w:val="00905142"/>
    <w:rsid w:val="00905335"/>
    <w:rsid w:val="00906320"/>
    <w:rsid w:val="00906531"/>
    <w:rsid w:val="009111CB"/>
    <w:rsid w:val="0091195F"/>
    <w:rsid w:val="00915FA6"/>
    <w:rsid w:val="00917C95"/>
    <w:rsid w:val="00917E1D"/>
    <w:rsid w:val="009200F5"/>
    <w:rsid w:val="00921D2F"/>
    <w:rsid w:val="00923628"/>
    <w:rsid w:val="009251E5"/>
    <w:rsid w:val="009275DB"/>
    <w:rsid w:val="009276F1"/>
    <w:rsid w:val="00927EB7"/>
    <w:rsid w:val="00930182"/>
    <w:rsid w:val="009314B2"/>
    <w:rsid w:val="00931973"/>
    <w:rsid w:val="00932BDC"/>
    <w:rsid w:val="00934472"/>
    <w:rsid w:val="00935C50"/>
    <w:rsid w:val="00936125"/>
    <w:rsid w:val="0093640A"/>
    <w:rsid w:val="00936D39"/>
    <w:rsid w:val="00937D57"/>
    <w:rsid w:val="00940075"/>
    <w:rsid w:val="0094023F"/>
    <w:rsid w:val="009404C8"/>
    <w:rsid w:val="00941DFE"/>
    <w:rsid w:val="00942410"/>
    <w:rsid w:val="0094323C"/>
    <w:rsid w:val="00950B51"/>
    <w:rsid w:val="00952ED8"/>
    <w:rsid w:val="00954228"/>
    <w:rsid w:val="00954316"/>
    <w:rsid w:val="00954978"/>
    <w:rsid w:val="00954AD2"/>
    <w:rsid w:val="00954BF5"/>
    <w:rsid w:val="00954E6B"/>
    <w:rsid w:val="009558A5"/>
    <w:rsid w:val="009558B3"/>
    <w:rsid w:val="00956176"/>
    <w:rsid w:val="0095664A"/>
    <w:rsid w:val="00957CB7"/>
    <w:rsid w:val="009612BC"/>
    <w:rsid w:val="00961CF3"/>
    <w:rsid w:val="0096238F"/>
    <w:rsid w:val="0096488A"/>
    <w:rsid w:val="00966125"/>
    <w:rsid w:val="00967E4F"/>
    <w:rsid w:val="00970E07"/>
    <w:rsid w:val="00973BBC"/>
    <w:rsid w:val="00976D38"/>
    <w:rsid w:val="00976EFD"/>
    <w:rsid w:val="0098126C"/>
    <w:rsid w:val="00981506"/>
    <w:rsid w:val="00981D94"/>
    <w:rsid w:val="00982285"/>
    <w:rsid w:val="00982E4E"/>
    <w:rsid w:val="00982E79"/>
    <w:rsid w:val="009831AA"/>
    <w:rsid w:val="00984B43"/>
    <w:rsid w:val="00985370"/>
    <w:rsid w:val="00985528"/>
    <w:rsid w:val="0098584C"/>
    <w:rsid w:val="009858FC"/>
    <w:rsid w:val="00985A04"/>
    <w:rsid w:val="00986AF4"/>
    <w:rsid w:val="00986E1A"/>
    <w:rsid w:val="00986FFB"/>
    <w:rsid w:val="0099211B"/>
    <w:rsid w:val="009934EC"/>
    <w:rsid w:val="00993E99"/>
    <w:rsid w:val="00994DA4"/>
    <w:rsid w:val="00995D83"/>
    <w:rsid w:val="00996865"/>
    <w:rsid w:val="009A0E56"/>
    <w:rsid w:val="009A2781"/>
    <w:rsid w:val="009A44F2"/>
    <w:rsid w:val="009A54E6"/>
    <w:rsid w:val="009A6624"/>
    <w:rsid w:val="009A6854"/>
    <w:rsid w:val="009A6954"/>
    <w:rsid w:val="009A79ED"/>
    <w:rsid w:val="009A7DC8"/>
    <w:rsid w:val="009B4E21"/>
    <w:rsid w:val="009B541F"/>
    <w:rsid w:val="009C27E3"/>
    <w:rsid w:val="009C4AFC"/>
    <w:rsid w:val="009C620A"/>
    <w:rsid w:val="009C64B2"/>
    <w:rsid w:val="009C6996"/>
    <w:rsid w:val="009C704D"/>
    <w:rsid w:val="009C726A"/>
    <w:rsid w:val="009C7367"/>
    <w:rsid w:val="009C77EF"/>
    <w:rsid w:val="009D0247"/>
    <w:rsid w:val="009D0468"/>
    <w:rsid w:val="009D3A25"/>
    <w:rsid w:val="009D4181"/>
    <w:rsid w:val="009D4615"/>
    <w:rsid w:val="009D4ABF"/>
    <w:rsid w:val="009D4BAC"/>
    <w:rsid w:val="009D4FD5"/>
    <w:rsid w:val="009D511F"/>
    <w:rsid w:val="009D56BC"/>
    <w:rsid w:val="009D71F9"/>
    <w:rsid w:val="009D73EF"/>
    <w:rsid w:val="009E051D"/>
    <w:rsid w:val="009E1A62"/>
    <w:rsid w:val="009E201E"/>
    <w:rsid w:val="009E30CE"/>
    <w:rsid w:val="009E3C75"/>
    <w:rsid w:val="009E3EF4"/>
    <w:rsid w:val="009E59C8"/>
    <w:rsid w:val="009E65F5"/>
    <w:rsid w:val="009E6EC5"/>
    <w:rsid w:val="009F00FA"/>
    <w:rsid w:val="009F16E0"/>
    <w:rsid w:val="009F2260"/>
    <w:rsid w:val="009F4630"/>
    <w:rsid w:val="009F556A"/>
    <w:rsid w:val="009F5FE1"/>
    <w:rsid w:val="00A00E09"/>
    <w:rsid w:val="00A019B7"/>
    <w:rsid w:val="00A01AD4"/>
    <w:rsid w:val="00A02E9F"/>
    <w:rsid w:val="00A03347"/>
    <w:rsid w:val="00A03A5B"/>
    <w:rsid w:val="00A0479D"/>
    <w:rsid w:val="00A05B96"/>
    <w:rsid w:val="00A07FD0"/>
    <w:rsid w:val="00A10611"/>
    <w:rsid w:val="00A10CFA"/>
    <w:rsid w:val="00A10F70"/>
    <w:rsid w:val="00A1400B"/>
    <w:rsid w:val="00A146BD"/>
    <w:rsid w:val="00A16A13"/>
    <w:rsid w:val="00A2041F"/>
    <w:rsid w:val="00A2178D"/>
    <w:rsid w:val="00A21885"/>
    <w:rsid w:val="00A21F14"/>
    <w:rsid w:val="00A2296D"/>
    <w:rsid w:val="00A234FB"/>
    <w:rsid w:val="00A23A33"/>
    <w:rsid w:val="00A256E7"/>
    <w:rsid w:val="00A30271"/>
    <w:rsid w:val="00A31423"/>
    <w:rsid w:val="00A3278E"/>
    <w:rsid w:val="00A3363F"/>
    <w:rsid w:val="00A33EEB"/>
    <w:rsid w:val="00A35E9C"/>
    <w:rsid w:val="00A4010C"/>
    <w:rsid w:val="00A41E70"/>
    <w:rsid w:val="00A47CC6"/>
    <w:rsid w:val="00A5081F"/>
    <w:rsid w:val="00A510B4"/>
    <w:rsid w:val="00A51367"/>
    <w:rsid w:val="00A531DA"/>
    <w:rsid w:val="00A5564A"/>
    <w:rsid w:val="00A560D7"/>
    <w:rsid w:val="00A56730"/>
    <w:rsid w:val="00A60832"/>
    <w:rsid w:val="00A60A05"/>
    <w:rsid w:val="00A62568"/>
    <w:rsid w:val="00A632B4"/>
    <w:rsid w:val="00A63475"/>
    <w:rsid w:val="00A63CEF"/>
    <w:rsid w:val="00A7007C"/>
    <w:rsid w:val="00A709AA"/>
    <w:rsid w:val="00A70EFD"/>
    <w:rsid w:val="00A723F5"/>
    <w:rsid w:val="00A724BD"/>
    <w:rsid w:val="00A72903"/>
    <w:rsid w:val="00A74617"/>
    <w:rsid w:val="00A74929"/>
    <w:rsid w:val="00A74BEB"/>
    <w:rsid w:val="00A74BEC"/>
    <w:rsid w:val="00A82664"/>
    <w:rsid w:val="00A83333"/>
    <w:rsid w:val="00A83F3B"/>
    <w:rsid w:val="00A86EE3"/>
    <w:rsid w:val="00A907B3"/>
    <w:rsid w:val="00A91581"/>
    <w:rsid w:val="00A91933"/>
    <w:rsid w:val="00A92DBC"/>
    <w:rsid w:val="00A93584"/>
    <w:rsid w:val="00A94C63"/>
    <w:rsid w:val="00A952D7"/>
    <w:rsid w:val="00A95C69"/>
    <w:rsid w:val="00A9648E"/>
    <w:rsid w:val="00A97489"/>
    <w:rsid w:val="00AA2175"/>
    <w:rsid w:val="00AA28FC"/>
    <w:rsid w:val="00AA2BA3"/>
    <w:rsid w:val="00AA62D8"/>
    <w:rsid w:val="00AA73BB"/>
    <w:rsid w:val="00AA7861"/>
    <w:rsid w:val="00AB0CBB"/>
    <w:rsid w:val="00AB3B17"/>
    <w:rsid w:val="00AB44A6"/>
    <w:rsid w:val="00AB49B0"/>
    <w:rsid w:val="00AB4E26"/>
    <w:rsid w:val="00AB5763"/>
    <w:rsid w:val="00AC0502"/>
    <w:rsid w:val="00AC3ECF"/>
    <w:rsid w:val="00AC51FF"/>
    <w:rsid w:val="00AD0068"/>
    <w:rsid w:val="00AD2934"/>
    <w:rsid w:val="00AD56C2"/>
    <w:rsid w:val="00AD7506"/>
    <w:rsid w:val="00AE110B"/>
    <w:rsid w:val="00AE46F9"/>
    <w:rsid w:val="00AE5F05"/>
    <w:rsid w:val="00AE636F"/>
    <w:rsid w:val="00AE782A"/>
    <w:rsid w:val="00AF0057"/>
    <w:rsid w:val="00AF1811"/>
    <w:rsid w:val="00AF2780"/>
    <w:rsid w:val="00AF3777"/>
    <w:rsid w:val="00AF4B24"/>
    <w:rsid w:val="00AF56DC"/>
    <w:rsid w:val="00AF65A1"/>
    <w:rsid w:val="00AF6A9D"/>
    <w:rsid w:val="00B00608"/>
    <w:rsid w:val="00B0114B"/>
    <w:rsid w:val="00B01CB5"/>
    <w:rsid w:val="00B037A1"/>
    <w:rsid w:val="00B0397F"/>
    <w:rsid w:val="00B04E37"/>
    <w:rsid w:val="00B051D2"/>
    <w:rsid w:val="00B064F9"/>
    <w:rsid w:val="00B1074E"/>
    <w:rsid w:val="00B11733"/>
    <w:rsid w:val="00B11737"/>
    <w:rsid w:val="00B125E0"/>
    <w:rsid w:val="00B16BBB"/>
    <w:rsid w:val="00B20215"/>
    <w:rsid w:val="00B212A1"/>
    <w:rsid w:val="00B215D9"/>
    <w:rsid w:val="00B216C1"/>
    <w:rsid w:val="00B21902"/>
    <w:rsid w:val="00B23348"/>
    <w:rsid w:val="00B23DAE"/>
    <w:rsid w:val="00B257DC"/>
    <w:rsid w:val="00B301A2"/>
    <w:rsid w:val="00B311D9"/>
    <w:rsid w:val="00B31757"/>
    <w:rsid w:val="00B33112"/>
    <w:rsid w:val="00B337DC"/>
    <w:rsid w:val="00B35F90"/>
    <w:rsid w:val="00B40F21"/>
    <w:rsid w:val="00B4377C"/>
    <w:rsid w:val="00B472EC"/>
    <w:rsid w:val="00B47BDD"/>
    <w:rsid w:val="00B511A6"/>
    <w:rsid w:val="00B51883"/>
    <w:rsid w:val="00B51942"/>
    <w:rsid w:val="00B51FFC"/>
    <w:rsid w:val="00B53BE7"/>
    <w:rsid w:val="00B5662F"/>
    <w:rsid w:val="00B57C6E"/>
    <w:rsid w:val="00B607FF"/>
    <w:rsid w:val="00B608F6"/>
    <w:rsid w:val="00B6108E"/>
    <w:rsid w:val="00B61D2E"/>
    <w:rsid w:val="00B63275"/>
    <w:rsid w:val="00B6490C"/>
    <w:rsid w:val="00B658D4"/>
    <w:rsid w:val="00B65D9C"/>
    <w:rsid w:val="00B67037"/>
    <w:rsid w:val="00B67140"/>
    <w:rsid w:val="00B67410"/>
    <w:rsid w:val="00B70819"/>
    <w:rsid w:val="00B71ED5"/>
    <w:rsid w:val="00B72D88"/>
    <w:rsid w:val="00B733E7"/>
    <w:rsid w:val="00B7340E"/>
    <w:rsid w:val="00B742A2"/>
    <w:rsid w:val="00B756BA"/>
    <w:rsid w:val="00B756C5"/>
    <w:rsid w:val="00B75B3F"/>
    <w:rsid w:val="00B75C14"/>
    <w:rsid w:val="00B77765"/>
    <w:rsid w:val="00B81ECA"/>
    <w:rsid w:val="00B8284F"/>
    <w:rsid w:val="00B836FE"/>
    <w:rsid w:val="00B849F5"/>
    <w:rsid w:val="00B85377"/>
    <w:rsid w:val="00B87E9A"/>
    <w:rsid w:val="00B9013F"/>
    <w:rsid w:val="00B9045B"/>
    <w:rsid w:val="00B910E0"/>
    <w:rsid w:val="00B9132D"/>
    <w:rsid w:val="00B91A5F"/>
    <w:rsid w:val="00B92E20"/>
    <w:rsid w:val="00B9452A"/>
    <w:rsid w:val="00B94803"/>
    <w:rsid w:val="00B94F88"/>
    <w:rsid w:val="00B95B72"/>
    <w:rsid w:val="00B97BB0"/>
    <w:rsid w:val="00BA043D"/>
    <w:rsid w:val="00BA3C04"/>
    <w:rsid w:val="00BA42D3"/>
    <w:rsid w:val="00BA4A1D"/>
    <w:rsid w:val="00BA61BD"/>
    <w:rsid w:val="00BB4665"/>
    <w:rsid w:val="00BB4DE7"/>
    <w:rsid w:val="00BB596F"/>
    <w:rsid w:val="00BB6305"/>
    <w:rsid w:val="00BB6A73"/>
    <w:rsid w:val="00BC097A"/>
    <w:rsid w:val="00BC1C68"/>
    <w:rsid w:val="00BC2B9C"/>
    <w:rsid w:val="00BC3A93"/>
    <w:rsid w:val="00BC3D9F"/>
    <w:rsid w:val="00BC4080"/>
    <w:rsid w:val="00BC41E6"/>
    <w:rsid w:val="00BC44BC"/>
    <w:rsid w:val="00BC4B6A"/>
    <w:rsid w:val="00BC7C4E"/>
    <w:rsid w:val="00BD147E"/>
    <w:rsid w:val="00BD482A"/>
    <w:rsid w:val="00BD4E06"/>
    <w:rsid w:val="00BE0E40"/>
    <w:rsid w:val="00BE496B"/>
    <w:rsid w:val="00BE755A"/>
    <w:rsid w:val="00BF133E"/>
    <w:rsid w:val="00BF5734"/>
    <w:rsid w:val="00BF67B9"/>
    <w:rsid w:val="00BF748E"/>
    <w:rsid w:val="00C023E3"/>
    <w:rsid w:val="00C03F8F"/>
    <w:rsid w:val="00C055D9"/>
    <w:rsid w:val="00C05C1D"/>
    <w:rsid w:val="00C05DD4"/>
    <w:rsid w:val="00C07242"/>
    <w:rsid w:val="00C10675"/>
    <w:rsid w:val="00C10C40"/>
    <w:rsid w:val="00C113D0"/>
    <w:rsid w:val="00C128C5"/>
    <w:rsid w:val="00C14AB9"/>
    <w:rsid w:val="00C15226"/>
    <w:rsid w:val="00C1573B"/>
    <w:rsid w:val="00C15C4D"/>
    <w:rsid w:val="00C167B0"/>
    <w:rsid w:val="00C16DAF"/>
    <w:rsid w:val="00C17047"/>
    <w:rsid w:val="00C17DC9"/>
    <w:rsid w:val="00C20607"/>
    <w:rsid w:val="00C2080F"/>
    <w:rsid w:val="00C21182"/>
    <w:rsid w:val="00C2123F"/>
    <w:rsid w:val="00C220D4"/>
    <w:rsid w:val="00C23A84"/>
    <w:rsid w:val="00C23BB0"/>
    <w:rsid w:val="00C2651A"/>
    <w:rsid w:val="00C31573"/>
    <w:rsid w:val="00C31DF3"/>
    <w:rsid w:val="00C331B8"/>
    <w:rsid w:val="00C3331F"/>
    <w:rsid w:val="00C34055"/>
    <w:rsid w:val="00C34951"/>
    <w:rsid w:val="00C36621"/>
    <w:rsid w:val="00C36761"/>
    <w:rsid w:val="00C406D2"/>
    <w:rsid w:val="00C40E2B"/>
    <w:rsid w:val="00C42C9C"/>
    <w:rsid w:val="00C42F89"/>
    <w:rsid w:val="00C4416C"/>
    <w:rsid w:val="00C44D9F"/>
    <w:rsid w:val="00C46973"/>
    <w:rsid w:val="00C46CD9"/>
    <w:rsid w:val="00C47174"/>
    <w:rsid w:val="00C4744D"/>
    <w:rsid w:val="00C5215E"/>
    <w:rsid w:val="00C53A5A"/>
    <w:rsid w:val="00C5408F"/>
    <w:rsid w:val="00C543CF"/>
    <w:rsid w:val="00C56F08"/>
    <w:rsid w:val="00C6144D"/>
    <w:rsid w:val="00C632B4"/>
    <w:rsid w:val="00C6371D"/>
    <w:rsid w:val="00C64237"/>
    <w:rsid w:val="00C64AFD"/>
    <w:rsid w:val="00C70968"/>
    <w:rsid w:val="00C718AA"/>
    <w:rsid w:val="00C72F94"/>
    <w:rsid w:val="00C75536"/>
    <w:rsid w:val="00C75B79"/>
    <w:rsid w:val="00C76110"/>
    <w:rsid w:val="00C77B39"/>
    <w:rsid w:val="00C80CFE"/>
    <w:rsid w:val="00C8217A"/>
    <w:rsid w:val="00C8274D"/>
    <w:rsid w:val="00C8451D"/>
    <w:rsid w:val="00C85228"/>
    <w:rsid w:val="00C85A77"/>
    <w:rsid w:val="00C86B36"/>
    <w:rsid w:val="00C90476"/>
    <w:rsid w:val="00C90CDA"/>
    <w:rsid w:val="00C90D62"/>
    <w:rsid w:val="00C91219"/>
    <w:rsid w:val="00C91654"/>
    <w:rsid w:val="00C92050"/>
    <w:rsid w:val="00C92CD4"/>
    <w:rsid w:val="00C92FB1"/>
    <w:rsid w:val="00C9662F"/>
    <w:rsid w:val="00C96F66"/>
    <w:rsid w:val="00C97DEA"/>
    <w:rsid w:val="00C97E71"/>
    <w:rsid w:val="00CA1F31"/>
    <w:rsid w:val="00CA1F88"/>
    <w:rsid w:val="00CA558D"/>
    <w:rsid w:val="00CA58FD"/>
    <w:rsid w:val="00CA66C0"/>
    <w:rsid w:val="00CA6915"/>
    <w:rsid w:val="00CA6CF8"/>
    <w:rsid w:val="00CA7329"/>
    <w:rsid w:val="00CB3A30"/>
    <w:rsid w:val="00CB680F"/>
    <w:rsid w:val="00CB69F0"/>
    <w:rsid w:val="00CB7562"/>
    <w:rsid w:val="00CC0B2A"/>
    <w:rsid w:val="00CC0CEC"/>
    <w:rsid w:val="00CC1D4D"/>
    <w:rsid w:val="00CC2B8F"/>
    <w:rsid w:val="00CC4DF9"/>
    <w:rsid w:val="00CC4F6A"/>
    <w:rsid w:val="00CC5EB0"/>
    <w:rsid w:val="00CD2E84"/>
    <w:rsid w:val="00CD33D7"/>
    <w:rsid w:val="00CD3671"/>
    <w:rsid w:val="00CD369C"/>
    <w:rsid w:val="00CD4E24"/>
    <w:rsid w:val="00CD5434"/>
    <w:rsid w:val="00CD5FE4"/>
    <w:rsid w:val="00CD64AD"/>
    <w:rsid w:val="00CD66A0"/>
    <w:rsid w:val="00CE1621"/>
    <w:rsid w:val="00CE1D80"/>
    <w:rsid w:val="00CE464D"/>
    <w:rsid w:val="00CF0F09"/>
    <w:rsid w:val="00CF1275"/>
    <w:rsid w:val="00CF2D67"/>
    <w:rsid w:val="00CF3E00"/>
    <w:rsid w:val="00CF42C8"/>
    <w:rsid w:val="00CF48DF"/>
    <w:rsid w:val="00CF6242"/>
    <w:rsid w:val="00CF7DA5"/>
    <w:rsid w:val="00CF7E71"/>
    <w:rsid w:val="00D02FED"/>
    <w:rsid w:val="00D04424"/>
    <w:rsid w:val="00D04C49"/>
    <w:rsid w:val="00D11F5A"/>
    <w:rsid w:val="00D151E3"/>
    <w:rsid w:val="00D1527F"/>
    <w:rsid w:val="00D160BE"/>
    <w:rsid w:val="00D171F5"/>
    <w:rsid w:val="00D17C8C"/>
    <w:rsid w:val="00D22783"/>
    <w:rsid w:val="00D2444B"/>
    <w:rsid w:val="00D25349"/>
    <w:rsid w:val="00D25394"/>
    <w:rsid w:val="00D26273"/>
    <w:rsid w:val="00D26519"/>
    <w:rsid w:val="00D26862"/>
    <w:rsid w:val="00D32083"/>
    <w:rsid w:val="00D33CA3"/>
    <w:rsid w:val="00D34762"/>
    <w:rsid w:val="00D34987"/>
    <w:rsid w:val="00D360A7"/>
    <w:rsid w:val="00D361A6"/>
    <w:rsid w:val="00D363B3"/>
    <w:rsid w:val="00D429DF"/>
    <w:rsid w:val="00D4353A"/>
    <w:rsid w:val="00D4466E"/>
    <w:rsid w:val="00D44865"/>
    <w:rsid w:val="00D468AE"/>
    <w:rsid w:val="00D46A6C"/>
    <w:rsid w:val="00D47963"/>
    <w:rsid w:val="00D51BCB"/>
    <w:rsid w:val="00D53F55"/>
    <w:rsid w:val="00D55C3E"/>
    <w:rsid w:val="00D55FC0"/>
    <w:rsid w:val="00D5726B"/>
    <w:rsid w:val="00D57F5E"/>
    <w:rsid w:val="00D60EB3"/>
    <w:rsid w:val="00D60EE6"/>
    <w:rsid w:val="00D610C8"/>
    <w:rsid w:val="00D611D5"/>
    <w:rsid w:val="00D620FF"/>
    <w:rsid w:val="00D639E3"/>
    <w:rsid w:val="00D706AB"/>
    <w:rsid w:val="00D71BC9"/>
    <w:rsid w:val="00D7285F"/>
    <w:rsid w:val="00D72885"/>
    <w:rsid w:val="00D72E78"/>
    <w:rsid w:val="00D74B24"/>
    <w:rsid w:val="00D76B0F"/>
    <w:rsid w:val="00D814FC"/>
    <w:rsid w:val="00D8286E"/>
    <w:rsid w:val="00D8340F"/>
    <w:rsid w:val="00D864B9"/>
    <w:rsid w:val="00D87237"/>
    <w:rsid w:val="00D87D19"/>
    <w:rsid w:val="00D9051F"/>
    <w:rsid w:val="00D905B5"/>
    <w:rsid w:val="00D92B4C"/>
    <w:rsid w:val="00D92D1C"/>
    <w:rsid w:val="00D96B0D"/>
    <w:rsid w:val="00D978CA"/>
    <w:rsid w:val="00DA0500"/>
    <w:rsid w:val="00DA093D"/>
    <w:rsid w:val="00DA1187"/>
    <w:rsid w:val="00DA170D"/>
    <w:rsid w:val="00DA236F"/>
    <w:rsid w:val="00DA2BC6"/>
    <w:rsid w:val="00DA31C4"/>
    <w:rsid w:val="00DA3CE9"/>
    <w:rsid w:val="00DA50F2"/>
    <w:rsid w:val="00DA7FE2"/>
    <w:rsid w:val="00DB1233"/>
    <w:rsid w:val="00DB29C6"/>
    <w:rsid w:val="00DB301A"/>
    <w:rsid w:val="00DB30F5"/>
    <w:rsid w:val="00DB43E5"/>
    <w:rsid w:val="00DB5A25"/>
    <w:rsid w:val="00DB7D54"/>
    <w:rsid w:val="00DC04B1"/>
    <w:rsid w:val="00DC1B21"/>
    <w:rsid w:val="00DC24F8"/>
    <w:rsid w:val="00DC390E"/>
    <w:rsid w:val="00DC3A66"/>
    <w:rsid w:val="00DC45F0"/>
    <w:rsid w:val="00DC605E"/>
    <w:rsid w:val="00DC6AD4"/>
    <w:rsid w:val="00DC6B4B"/>
    <w:rsid w:val="00DC75E5"/>
    <w:rsid w:val="00DD03AC"/>
    <w:rsid w:val="00DD150D"/>
    <w:rsid w:val="00DD2300"/>
    <w:rsid w:val="00DD4B0A"/>
    <w:rsid w:val="00DD58B5"/>
    <w:rsid w:val="00DD63C0"/>
    <w:rsid w:val="00DD6C53"/>
    <w:rsid w:val="00DD7533"/>
    <w:rsid w:val="00DD7CBC"/>
    <w:rsid w:val="00DE3CF7"/>
    <w:rsid w:val="00DE50BD"/>
    <w:rsid w:val="00DE5795"/>
    <w:rsid w:val="00DE7AF6"/>
    <w:rsid w:val="00DF0417"/>
    <w:rsid w:val="00DF1AE0"/>
    <w:rsid w:val="00DF42F6"/>
    <w:rsid w:val="00DF447F"/>
    <w:rsid w:val="00DF46FD"/>
    <w:rsid w:val="00E00D08"/>
    <w:rsid w:val="00E020C6"/>
    <w:rsid w:val="00E02B6C"/>
    <w:rsid w:val="00E03873"/>
    <w:rsid w:val="00E0389D"/>
    <w:rsid w:val="00E04A8B"/>
    <w:rsid w:val="00E05030"/>
    <w:rsid w:val="00E062BD"/>
    <w:rsid w:val="00E074A0"/>
    <w:rsid w:val="00E1062D"/>
    <w:rsid w:val="00E10A3A"/>
    <w:rsid w:val="00E111CF"/>
    <w:rsid w:val="00E114B8"/>
    <w:rsid w:val="00E14E9E"/>
    <w:rsid w:val="00E153C4"/>
    <w:rsid w:val="00E15E5E"/>
    <w:rsid w:val="00E169AE"/>
    <w:rsid w:val="00E16DFA"/>
    <w:rsid w:val="00E16E3A"/>
    <w:rsid w:val="00E16FA1"/>
    <w:rsid w:val="00E20F5D"/>
    <w:rsid w:val="00E22059"/>
    <w:rsid w:val="00E234C4"/>
    <w:rsid w:val="00E24616"/>
    <w:rsid w:val="00E26084"/>
    <w:rsid w:val="00E27251"/>
    <w:rsid w:val="00E27412"/>
    <w:rsid w:val="00E27FDA"/>
    <w:rsid w:val="00E30A6A"/>
    <w:rsid w:val="00E346CD"/>
    <w:rsid w:val="00E34766"/>
    <w:rsid w:val="00E350D6"/>
    <w:rsid w:val="00E3598D"/>
    <w:rsid w:val="00E40274"/>
    <w:rsid w:val="00E409B5"/>
    <w:rsid w:val="00E412D8"/>
    <w:rsid w:val="00E422E9"/>
    <w:rsid w:val="00E42A88"/>
    <w:rsid w:val="00E431F4"/>
    <w:rsid w:val="00E432C7"/>
    <w:rsid w:val="00E468D5"/>
    <w:rsid w:val="00E46AA4"/>
    <w:rsid w:val="00E503F2"/>
    <w:rsid w:val="00E51CC3"/>
    <w:rsid w:val="00E5226E"/>
    <w:rsid w:val="00E52966"/>
    <w:rsid w:val="00E5687C"/>
    <w:rsid w:val="00E60C56"/>
    <w:rsid w:val="00E61646"/>
    <w:rsid w:val="00E61700"/>
    <w:rsid w:val="00E62A8A"/>
    <w:rsid w:val="00E63711"/>
    <w:rsid w:val="00E63A5B"/>
    <w:rsid w:val="00E642A0"/>
    <w:rsid w:val="00E642CD"/>
    <w:rsid w:val="00E65168"/>
    <w:rsid w:val="00E65BCC"/>
    <w:rsid w:val="00E66EDD"/>
    <w:rsid w:val="00E678B2"/>
    <w:rsid w:val="00E67C98"/>
    <w:rsid w:val="00E71484"/>
    <w:rsid w:val="00E7309F"/>
    <w:rsid w:val="00E73314"/>
    <w:rsid w:val="00E76227"/>
    <w:rsid w:val="00E80201"/>
    <w:rsid w:val="00E80474"/>
    <w:rsid w:val="00E80AA2"/>
    <w:rsid w:val="00E80D8F"/>
    <w:rsid w:val="00E8276B"/>
    <w:rsid w:val="00E85537"/>
    <w:rsid w:val="00E86F9C"/>
    <w:rsid w:val="00E87AFA"/>
    <w:rsid w:val="00E87FA9"/>
    <w:rsid w:val="00E91035"/>
    <w:rsid w:val="00E91ADF"/>
    <w:rsid w:val="00E939FC"/>
    <w:rsid w:val="00E94735"/>
    <w:rsid w:val="00E953FA"/>
    <w:rsid w:val="00E95CF6"/>
    <w:rsid w:val="00E9711F"/>
    <w:rsid w:val="00E97BCA"/>
    <w:rsid w:val="00EA0198"/>
    <w:rsid w:val="00EA100E"/>
    <w:rsid w:val="00EA1783"/>
    <w:rsid w:val="00EA1FDB"/>
    <w:rsid w:val="00EB1CB4"/>
    <w:rsid w:val="00EB4C31"/>
    <w:rsid w:val="00EB52C2"/>
    <w:rsid w:val="00EB5521"/>
    <w:rsid w:val="00EB6656"/>
    <w:rsid w:val="00EB7224"/>
    <w:rsid w:val="00EC0515"/>
    <w:rsid w:val="00EC08EF"/>
    <w:rsid w:val="00EC1188"/>
    <w:rsid w:val="00EC1635"/>
    <w:rsid w:val="00EC1934"/>
    <w:rsid w:val="00EC1B74"/>
    <w:rsid w:val="00EC1F62"/>
    <w:rsid w:val="00EC22CD"/>
    <w:rsid w:val="00EC2AF8"/>
    <w:rsid w:val="00EC2EFE"/>
    <w:rsid w:val="00EC342F"/>
    <w:rsid w:val="00EC352F"/>
    <w:rsid w:val="00EC6509"/>
    <w:rsid w:val="00EC72C9"/>
    <w:rsid w:val="00ED13A9"/>
    <w:rsid w:val="00ED1DA1"/>
    <w:rsid w:val="00ED2A5E"/>
    <w:rsid w:val="00ED30B8"/>
    <w:rsid w:val="00ED38F3"/>
    <w:rsid w:val="00ED4D4F"/>
    <w:rsid w:val="00ED5B9F"/>
    <w:rsid w:val="00ED5C97"/>
    <w:rsid w:val="00ED5CCC"/>
    <w:rsid w:val="00ED6E20"/>
    <w:rsid w:val="00EE1584"/>
    <w:rsid w:val="00EE1A8B"/>
    <w:rsid w:val="00EE1D4C"/>
    <w:rsid w:val="00EE217A"/>
    <w:rsid w:val="00EE2B3E"/>
    <w:rsid w:val="00EE3371"/>
    <w:rsid w:val="00EE37C9"/>
    <w:rsid w:val="00EE4C3A"/>
    <w:rsid w:val="00EE5ADE"/>
    <w:rsid w:val="00EE5ECC"/>
    <w:rsid w:val="00EF0ABA"/>
    <w:rsid w:val="00EF0F68"/>
    <w:rsid w:val="00EF1534"/>
    <w:rsid w:val="00EF1C94"/>
    <w:rsid w:val="00EF2601"/>
    <w:rsid w:val="00EF366E"/>
    <w:rsid w:val="00EF3B1D"/>
    <w:rsid w:val="00EF4155"/>
    <w:rsid w:val="00EF53AE"/>
    <w:rsid w:val="00EF6049"/>
    <w:rsid w:val="00EF6D6D"/>
    <w:rsid w:val="00EF7EC9"/>
    <w:rsid w:val="00F017C1"/>
    <w:rsid w:val="00F02190"/>
    <w:rsid w:val="00F03851"/>
    <w:rsid w:val="00F03DD5"/>
    <w:rsid w:val="00F05A3F"/>
    <w:rsid w:val="00F065FB"/>
    <w:rsid w:val="00F072F2"/>
    <w:rsid w:val="00F111A1"/>
    <w:rsid w:val="00F131CA"/>
    <w:rsid w:val="00F13606"/>
    <w:rsid w:val="00F1367B"/>
    <w:rsid w:val="00F139D2"/>
    <w:rsid w:val="00F13E07"/>
    <w:rsid w:val="00F14CA8"/>
    <w:rsid w:val="00F152CE"/>
    <w:rsid w:val="00F16223"/>
    <w:rsid w:val="00F17257"/>
    <w:rsid w:val="00F17DC3"/>
    <w:rsid w:val="00F20EC9"/>
    <w:rsid w:val="00F219D6"/>
    <w:rsid w:val="00F23110"/>
    <w:rsid w:val="00F23870"/>
    <w:rsid w:val="00F24527"/>
    <w:rsid w:val="00F255CA"/>
    <w:rsid w:val="00F264CF"/>
    <w:rsid w:val="00F276D8"/>
    <w:rsid w:val="00F31030"/>
    <w:rsid w:val="00F31A12"/>
    <w:rsid w:val="00F320B3"/>
    <w:rsid w:val="00F32C3C"/>
    <w:rsid w:val="00F3648A"/>
    <w:rsid w:val="00F40058"/>
    <w:rsid w:val="00F41B04"/>
    <w:rsid w:val="00F4224D"/>
    <w:rsid w:val="00F423F3"/>
    <w:rsid w:val="00F4294C"/>
    <w:rsid w:val="00F4325E"/>
    <w:rsid w:val="00F44CAB"/>
    <w:rsid w:val="00F451CB"/>
    <w:rsid w:val="00F4529E"/>
    <w:rsid w:val="00F45A62"/>
    <w:rsid w:val="00F5037B"/>
    <w:rsid w:val="00F54692"/>
    <w:rsid w:val="00F63521"/>
    <w:rsid w:val="00F6547A"/>
    <w:rsid w:val="00F666EB"/>
    <w:rsid w:val="00F7153A"/>
    <w:rsid w:val="00F71BC0"/>
    <w:rsid w:val="00F72215"/>
    <w:rsid w:val="00F7242C"/>
    <w:rsid w:val="00F73BF6"/>
    <w:rsid w:val="00F74671"/>
    <w:rsid w:val="00F7495B"/>
    <w:rsid w:val="00F74A37"/>
    <w:rsid w:val="00F768B0"/>
    <w:rsid w:val="00F814F5"/>
    <w:rsid w:val="00F82DCB"/>
    <w:rsid w:val="00F82EBC"/>
    <w:rsid w:val="00F8349E"/>
    <w:rsid w:val="00F83719"/>
    <w:rsid w:val="00F83AC2"/>
    <w:rsid w:val="00F8407B"/>
    <w:rsid w:val="00F8710C"/>
    <w:rsid w:val="00F9002B"/>
    <w:rsid w:val="00F90251"/>
    <w:rsid w:val="00F90955"/>
    <w:rsid w:val="00F90B95"/>
    <w:rsid w:val="00F91715"/>
    <w:rsid w:val="00F95B70"/>
    <w:rsid w:val="00FA14D5"/>
    <w:rsid w:val="00FA15FB"/>
    <w:rsid w:val="00FA3FB0"/>
    <w:rsid w:val="00FA3FB2"/>
    <w:rsid w:val="00FA47AA"/>
    <w:rsid w:val="00FA5692"/>
    <w:rsid w:val="00FA5C1A"/>
    <w:rsid w:val="00FA6470"/>
    <w:rsid w:val="00FA760A"/>
    <w:rsid w:val="00FA7700"/>
    <w:rsid w:val="00FA7D34"/>
    <w:rsid w:val="00FB0B76"/>
    <w:rsid w:val="00FB18B5"/>
    <w:rsid w:val="00FB2319"/>
    <w:rsid w:val="00FB3383"/>
    <w:rsid w:val="00FB373C"/>
    <w:rsid w:val="00FB4487"/>
    <w:rsid w:val="00FB5FD1"/>
    <w:rsid w:val="00FB70EC"/>
    <w:rsid w:val="00FB7120"/>
    <w:rsid w:val="00FB78DA"/>
    <w:rsid w:val="00FC0E35"/>
    <w:rsid w:val="00FC1985"/>
    <w:rsid w:val="00FC2561"/>
    <w:rsid w:val="00FC29AC"/>
    <w:rsid w:val="00FC2A66"/>
    <w:rsid w:val="00FC30A3"/>
    <w:rsid w:val="00FC5114"/>
    <w:rsid w:val="00FC5241"/>
    <w:rsid w:val="00FC6128"/>
    <w:rsid w:val="00FD02DD"/>
    <w:rsid w:val="00FD0C83"/>
    <w:rsid w:val="00FD22F0"/>
    <w:rsid w:val="00FD3B1A"/>
    <w:rsid w:val="00FD44D4"/>
    <w:rsid w:val="00FD6658"/>
    <w:rsid w:val="00FD6A96"/>
    <w:rsid w:val="00FD7383"/>
    <w:rsid w:val="00FE229E"/>
    <w:rsid w:val="00FE739C"/>
    <w:rsid w:val="00FF42D4"/>
    <w:rsid w:val="00FF4642"/>
    <w:rsid w:val="00FF6B8A"/>
    <w:rsid w:val="00FF72EC"/>
    <w:rsid w:val="00FF76F2"/>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474"/>
    <w:pPr>
      <w:spacing w:before="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80474"/>
    <w:pPr>
      <w:keepNext/>
      <w:keepLines/>
      <w:spacing w:before="960" w:after="48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E80474"/>
    <w:pPr>
      <w:keepNext/>
      <w:keepLines/>
      <w:spacing w:before="320" w:after="24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paragraph" w:styleId="Heading4">
    <w:name w:val="heading 4"/>
    <w:basedOn w:val="Normal"/>
    <w:next w:val="Normal"/>
    <w:link w:val="Heading4Char"/>
    <w:uiPriority w:val="9"/>
    <w:semiHidden/>
    <w:unhideWhenUsed/>
    <w:qFormat/>
    <w:rsid w:val="00C632B4"/>
    <w:pPr>
      <w:spacing w:before="200" w:after="0"/>
      <w:outlineLvl w:val="3"/>
    </w:pPr>
    <w:rPr>
      <w:rFonts w:asciiTheme="majorHAnsi" w:eastAsiaTheme="majorEastAsia" w:hAnsiTheme="majorHAnsi" w:cstheme="majorBidi"/>
      <w:b/>
      <w:bCs/>
      <w:i/>
      <w:iCs/>
      <w:szCs w:val="24"/>
      <w:lang w:bidi="en-US"/>
    </w:rPr>
  </w:style>
  <w:style w:type="paragraph" w:styleId="Heading5">
    <w:name w:val="heading 5"/>
    <w:basedOn w:val="Normal"/>
    <w:next w:val="Normal"/>
    <w:link w:val="Heading5Char"/>
    <w:uiPriority w:val="9"/>
    <w:semiHidden/>
    <w:unhideWhenUsed/>
    <w:qFormat/>
    <w:rsid w:val="00C632B4"/>
    <w:pPr>
      <w:spacing w:before="200" w:after="0"/>
      <w:outlineLvl w:val="4"/>
    </w:pPr>
    <w:rPr>
      <w:rFonts w:asciiTheme="majorHAnsi" w:eastAsiaTheme="majorEastAsia" w:hAnsiTheme="majorHAnsi" w:cstheme="majorBidi"/>
      <w:b/>
      <w:bCs/>
      <w:color w:val="7F7F7F" w:themeColor="text1" w:themeTint="80"/>
      <w:szCs w:val="24"/>
      <w:lang w:bidi="en-US"/>
    </w:rPr>
  </w:style>
  <w:style w:type="paragraph" w:styleId="Heading6">
    <w:name w:val="heading 6"/>
    <w:basedOn w:val="Normal"/>
    <w:next w:val="Normal"/>
    <w:link w:val="Heading6Char"/>
    <w:uiPriority w:val="9"/>
    <w:semiHidden/>
    <w:unhideWhenUsed/>
    <w:qFormat/>
    <w:rsid w:val="00C632B4"/>
    <w:pPr>
      <w:spacing w:before="0" w:after="0" w:line="271" w:lineRule="auto"/>
      <w:outlineLvl w:val="5"/>
    </w:pPr>
    <w:rPr>
      <w:rFonts w:asciiTheme="majorHAnsi" w:eastAsiaTheme="majorEastAsia" w:hAnsiTheme="majorHAnsi" w:cstheme="majorBidi"/>
      <w:b/>
      <w:bCs/>
      <w:i/>
      <w:iCs/>
      <w:color w:val="7F7F7F" w:themeColor="text1" w:themeTint="80"/>
      <w:szCs w:val="24"/>
      <w:lang w:bidi="en-US"/>
    </w:rPr>
  </w:style>
  <w:style w:type="paragraph" w:styleId="Heading7">
    <w:name w:val="heading 7"/>
    <w:basedOn w:val="Normal"/>
    <w:next w:val="Normal"/>
    <w:link w:val="Heading7Char"/>
    <w:uiPriority w:val="9"/>
    <w:semiHidden/>
    <w:unhideWhenUsed/>
    <w:qFormat/>
    <w:rsid w:val="00C632B4"/>
    <w:pPr>
      <w:spacing w:before="0" w:after="0"/>
      <w:outlineLvl w:val="6"/>
    </w:pPr>
    <w:rPr>
      <w:rFonts w:asciiTheme="majorHAnsi" w:eastAsiaTheme="majorEastAsia" w:hAnsiTheme="majorHAnsi" w:cstheme="majorBidi"/>
      <w:i/>
      <w:iCs/>
      <w:szCs w:val="24"/>
      <w:lang w:bidi="en-US"/>
    </w:rPr>
  </w:style>
  <w:style w:type="paragraph" w:styleId="Heading8">
    <w:name w:val="heading 8"/>
    <w:basedOn w:val="Normal"/>
    <w:next w:val="Normal"/>
    <w:link w:val="Heading8Char"/>
    <w:uiPriority w:val="9"/>
    <w:semiHidden/>
    <w:unhideWhenUsed/>
    <w:qFormat/>
    <w:rsid w:val="00C632B4"/>
    <w:pPr>
      <w:spacing w:before="0"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C632B4"/>
    <w:pPr>
      <w:spacing w:before="0"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474"/>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E80474"/>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923C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C5"/>
    <w:rPr>
      <w:rFonts w:ascii="Tahoma" w:hAnsi="Tahoma" w:cs="Tahoma"/>
      <w:sz w:val="16"/>
      <w:szCs w:val="16"/>
    </w:rPr>
  </w:style>
  <w:style w:type="paragraph" w:styleId="HTMLPreformatted">
    <w:name w:val="HTML Preformatted"/>
    <w:basedOn w:val="Normal"/>
    <w:link w:val="HTMLPreformattedChar"/>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F320B3"/>
    <w:rPr>
      <w:rFonts w:ascii="Courier New" w:eastAsia="Times New Roman" w:hAnsi="Courier New" w:cs="Courier New"/>
      <w:sz w:val="20"/>
      <w:szCs w:val="20"/>
      <w:lang w:eastAsia="et-EE"/>
    </w:rPr>
  </w:style>
  <w:style w:type="character" w:customStyle="1" w:styleId="Heading4Char">
    <w:name w:val="Heading 4 Char"/>
    <w:basedOn w:val="DefaultParagraphFont"/>
    <w:link w:val="Heading4"/>
    <w:uiPriority w:val="9"/>
    <w:semiHidden/>
    <w:rsid w:val="00C632B4"/>
    <w:rPr>
      <w:rFonts w:asciiTheme="majorHAnsi" w:eastAsiaTheme="majorEastAsia" w:hAnsiTheme="majorHAnsi" w:cstheme="majorBidi"/>
      <w:b/>
      <w:bCs/>
      <w:i/>
      <w:iCs/>
      <w:sz w:val="24"/>
      <w:szCs w:val="24"/>
      <w:lang w:bidi="en-US"/>
    </w:rPr>
  </w:style>
  <w:style w:type="character" w:customStyle="1" w:styleId="Heading5Char">
    <w:name w:val="Heading 5 Char"/>
    <w:basedOn w:val="DefaultParagraphFont"/>
    <w:link w:val="Heading5"/>
    <w:uiPriority w:val="9"/>
    <w:semiHidden/>
    <w:rsid w:val="00C632B4"/>
    <w:rPr>
      <w:rFonts w:asciiTheme="majorHAnsi" w:eastAsiaTheme="majorEastAsia" w:hAnsiTheme="majorHAnsi" w:cstheme="majorBidi"/>
      <w:b/>
      <w:bCs/>
      <w:color w:val="7F7F7F" w:themeColor="text1" w:themeTint="80"/>
      <w:sz w:val="24"/>
      <w:szCs w:val="24"/>
      <w:lang w:bidi="en-US"/>
    </w:rPr>
  </w:style>
  <w:style w:type="character" w:customStyle="1" w:styleId="Heading6Char">
    <w:name w:val="Heading 6 Char"/>
    <w:basedOn w:val="DefaultParagraphFont"/>
    <w:link w:val="Heading6"/>
    <w:uiPriority w:val="9"/>
    <w:semiHidden/>
    <w:rsid w:val="00C632B4"/>
    <w:rPr>
      <w:rFonts w:asciiTheme="majorHAnsi" w:eastAsiaTheme="majorEastAsia" w:hAnsiTheme="majorHAnsi" w:cstheme="majorBidi"/>
      <w:b/>
      <w:bCs/>
      <w:i/>
      <w:iCs/>
      <w:color w:val="7F7F7F" w:themeColor="text1" w:themeTint="80"/>
      <w:sz w:val="24"/>
      <w:szCs w:val="24"/>
      <w:lang w:bidi="en-US"/>
    </w:rPr>
  </w:style>
  <w:style w:type="character" w:customStyle="1" w:styleId="Heading7Char">
    <w:name w:val="Heading 7 Char"/>
    <w:basedOn w:val="DefaultParagraphFont"/>
    <w:link w:val="Heading7"/>
    <w:uiPriority w:val="9"/>
    <w:semiHidden/>
    <w:rsid w:val="00C632B4"/>
    <w:rPr>
      <w:rFonts w:asciiTheme="majorHAnsi" w:eastAsiaTheme="majorEastAsia" w:hAnsiTheme="majorHAnsi" w:cstheme="majorBidi"/>
      <w:i/>
      <w:iCs/>
      <w:sz w:val="24"/>
      <w:szCs w:val="24"/>
      <w:lang w:bidi="en-US"/>
    </w:rPr>
  </w:style>
  <w:style w:type="character" w:customStyle="1" w:styleId="Heading8Char">
    <w:name w:val="Heading 8 Char"/>
    <w:basedOn w:val="DefaultParagraphFont"/>
    <w:link w:val="Heading8"/>
    <w:uiPriority w:val="9"/>
    <w:semiHidden/>
    <w:rsid w:val="00C632B4"/>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C632B4"/>
    <w:rPr>
      <w:rFonts w:asciiTheme="majorHAnsi" w:eastAsiaTheme="majorEastAsia" w:hAnsiTheme="majorHAnsi" w:cstheme="majorBidi"/>
      <w:i/>
      <w:iCs/>
      <w:spacing w:val="5"/>
      <w:sz w:val="20"/>
      <w:szCs w:val="20"/>
      <w:lang w:bidi="en-US"/>
    </w:rPr>
  </w:style>
  <w:style w:type="paragraph" w:styleId="Subtitle">
    <w:name w:val="Subtitle"/>
    <w:basedOn w:val="Normal"/>
    <w:next w:val="Normal"/>
    <w:link w:val="SubtitleChar"/>
    <w:uiPriority w:val="11"/>
    <w:qFormat/>
    <w:rsid w:val="00C632B4"/>
    <w:pPr>
      <w:spacing w:before="0" w:after="600"/>
    </w:pPr>
    <w:rPr>
      <w:rFonts w:asciiTheme="majorHAnsi" w:eastAsiaTheme="majorEastAsia" w:hAnsiTheme="majorHAnsi" w:cstheme="majorBidi"/>
      <w:i/>
      <w:iCs/>
      <w:spacing w:val="13"/>
      <w:szCs w:val="24"/>
      <w:lang w:bidi="en-US"/>
    </w:rPr>
  </w:style>
  <w:style w:type="character" w:customStyle="1" w:styleId="SubtitleChar">
    <w:name w:val="Subtitle Char"/>
    <w:basedOn w:val="DefaultParagraphFont"/>
    <w:link w:val="Subtitle"/>
    <w:uiPriority w:val="11"/>
    <w:rsid w:val="00C632B4"/>
    <w:rPr>
      <w:rFonts w:asciiTheme="majorHAnsi" w:eastAsiaTheme="majorEastAsia" w:hAnsiTheme="majorHAnsi" w:cstheme="majorBidi"/>
      <w:i/>
      <w:iCs/>
      <w:spacing w:val="13"/>
      <w:sz w:val="24"/>
      <w:szCs w:val="24"/>
      <w:lang w:bidi="en-US"/>
    </w:rPr>
  </w:style>
  <w:style w:type="character" w:styleId="Strong">
    <w:name w:val="Strong"/>
    <w:uiPriority w:val="22"/>
    <w:qFormat/>
    <w:rsid w:val="00C632B4"/>
    <w:rPr>
      <w:b/>
      <w:bCs/>
    </w:rPr>
  </w:style>
  <w:style w:type="character" w:styleId="Emphasis">
    <w:name w:val="Emphasis"/>
    <w:uiPriority w:val="20"/>
    <w:qFormat/>
    <w:rsid w:val="00C632B4"/>
    <w:rPr>
      <w:b/>
      <w:bCs/>
      <w:i/>
      <w:iCs/>
      <w:spacing w:val="10"/>
      <w:bdr w:val="none" w:sz="0" w:space="0" w:color="auto"/>
      <w:shd w:val="clear" w:color="auto" w:fill="auto"/>
    </w:rPr>
  </w:style>
  <w:style w:type="paragraph" w:styleId="Quote">
    <w:name w:val="Quote"/>
    <w:basedOn w:val="Normal"/>
    <w:next w:val="Normal"/>
    <w:link w:val="QuoteChar"/>
    <w:uiPriority w:val="29"/>
    <w:qFormat/>
    <w:rsid w:val="00C632B4"/>
    <w:pPr>
      <w:spacing w:before="200" w:after="0"/>
      <w:ind w:left="360" w:right="360"/>
    </w:pPr>
    <w:rPr>
      <w:rFonts w:eastAsiaTheme="minorEastAsia" w:cs="Times New Roman"/>
      <w:i/>
      <w:iCs/>
      <w:szCs w:val="24"/>
      <w:lang w:bidi="en-US"/>
    </w:rPr>
  </w:style>
  <w:style w:type="character" w:customStyle="1" w:styleId="QuoteChar">
    <w:name w:val="Quote Char"/>
    <w:basedOn w:val="DefaultParagraphFont"/>
    <w:link w:val="Quote"/>
    <w:uiPriority w:val="29"/>
    <w:rsid w:val="00C632B4"/>
    <w:rPr>
      <w:rFonts w:ascii="Times New Roman" w:eastAsiaTheme="minorEastAsia" w:hAnsi="Times New Roman" w:cs="Times New Roman"/>
      <w:i/>
      <w:iCs/>
      <w:sz w:val="24"/>
      <w:szCs w:val="24"/>
      <w:lang w:bidi="en-US"/>
    </w:rPr>
  </w:style>
  <w:style w:type="paragraph" w:styleId="IntenseQuote">
    <w:name w:val="Intense Quote"/>
    <w:basedOn w:val="Normal"/>
    <w:next w:val="Normal"/>
    <w:link w:val="IntenseQuoteChar"/>
    <w:uiPriority w:val="30"/>
    <w:qFormat/>
    <w:rsid w:val="00C632B4"/>
    <w:pPr>
      <w:pBdr>
        <w:bottom w:val="single" w:sz="4" w:space="1" w:color="auto"/>
      </w:pBdr>
      <w:spacing w:before="200" w:after="280"/>
      <w:ind w:left="1008" w:right="1152"/>
    </w:pPr>
    <w:rPr>
      <w:rFonts w:eastAsiaTheme="minorEastAsia" w:cs="Times New Roman"/>
      <w:b/>
      <w:bCs/>
      <w:i/>
      <w:iCs/>
      <w:szCs w:val="24"/>
      <w:lang w:bidi="en-US"/>
    </w:rPr>
  </w:style>
  <w:style w:type="character" w:customStyle="1" w:styleId="IntenseQuoteChar">
    <w:name w:val="Intense Quote Char"/>
    <w:basedOn w:val="DefaultParagraphFont"/>
    <w:link w:val="IntenseQuote"/>
    <w:uiPriority w:val="30"/>
    <w:rsid w:val="00C632B4"/>
    <w:rPr>
      <w:rFonts w:ascii="Times New Roman" w:eastAsiaTheme="minorEastAsia" w:hAnsi="Times New Roman" w:cs="Times New Roman"/>
      <w:b/>
      <w:bCs/>
      <w:i/>
      <w:iCs/>
      <w:sz w:val="24"/>
      <w:szCs w:val="24"/>
      <w:lang w:bidi="en-US"/>
    </w:rPr>
  </w:style>
  <w:style w:type="character" w:styleId="SubtleEmphasis">
    <w:name w:val="Subtle Emphasis"/>
    <w:uiPriority w:val="19"/>
    <w:qFormat/>
    <w:rsid w:val="00C632B4"/>
    <w:rPr>
      <w:i/>
      <w:iCs/>
    </w:rPr>
  </w:style>
  <w:style w:type="character" w:styleId="IntenseEmphasis">
    <w:name w:val="Intense Emphasis"/>
    <w:uiPriority w:val="21"/>
    <w:qFormat/>
    <w:rsid w:val="00C632B4"/>
    <w:rPr>
      <w:b/>
      <w:bCs/>
    </w:rPr>
  </w:style>
  <w:style w:type="character" w:styleId="SubtleReference">
    <w:name w:val="Subtle Reference"/>
    <w:uiPriority w:val="31"/>
    <w:qFormat/>
    <w:rsid w:val="00C632B4"/>
    <w:rPr>
      <w:smallCaps/>
    </w:rPr>
  </w:style>
  <w:style w:type="character" w:styleId="IntenseReference">
    <w:name w:val="Intense Reference"/>
    <w:uiPriority w:val="32"/>
    <w:qFormat/>
    <w:rsid w:val="00C632B4"/>
    <w:rPr>
      <w:smallCaps/>
      <w:spacing w:val="5"/>
      <w:u w:val="single"/>
    </w:rPr>
  </w:style>
  <w:style w:type="character" w:styleId="BookTitle">
    <w:name w:val="Book Title"/>
    <w:uiPriority w:val="33"/>
    <w:qFormat/>
    <w:rsid w:val="00C632B4"/>
    <w:rPr>
      <w:i/>
      <w:iCs/>
      <w:smallCaps/>
      <w:spacing w:val="5"/>
    </w:rPr>
  </w:style>
  <w:style w:type="table" w:customStyle="1" w:styleId="LightShading1">
    <w:name w:val="Light Shading1"/>
    <w:basedOn w:val="TableNormal"/>
    <w:uiPriority w:val="60"/>
    <w:rsid w:val="00C632B4"/>
    <w:pPr>
      <w:spacing w:after="0" w:line="240" w:lineRule="auto"/>
    </w:pPr>
    <w:rPr>
      <w:rFonts w:ascii="Times New Roman" w:eastAsiaTheme="minorEastAsia" w:hAnsi="Times New Roman"/>
      <w:color w:val="000000" w:themeColor="text1" w:themeShade="BF"/>
      <w:sz w:val="24"/>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7A484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A484E"/>
    <w:rPr>
      <w:rFonts w:ascii="Times New Roman" w:hAnsi="Times New Roman"/>
      <w:sz w:val="20"/>
      <w:szCs w:val="20"/>
    </w:rPr>
  </w:style>
  <w:style w:type="character" w:styleId="FootnoteReference">
    <w:name w:val="footnote reference"/>
    <w:basedOn w:val="DefaultParagraphFont"/>
    <w:uiPriority w:val="99"/>
    <w:semiHidden/>
    <w:unhideWhenUsed/>
    <w:rsid w:val="007A484E"/>
    <w:rPr>
      <w:vertAlign w:val="superscript"/>
    </w:rPr>
  </w:style>
</w:styles>
</file>

<file path=word/webSettings.xml><?xml version="1.0" encoding="utf-8"?>
<w:webSettings xmlns:r="http://schemas.openxmlformats.org/officeDocument/2006/relationships" xmlns:w="http://schemas.openxmlformats.org/wordprocessingml/2006/main">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030566908">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histogramm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IBM\Desktop\histogramm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histogrammi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title>
      <c:tx>
        <c:rich>
          <a:bodyPr rot="0" vert="horz" anchor="t" anchorCtr="0"/>
          <a:lstStyle/>
          <a:p>
            <a:pPr>
              <a:defRPr lang="en-US" sz="1400">
                <a:latin typeface="Times New Roman" pitchFamily="18" charset="0"/>
                <a:cs typeface="Times New Roman" pitchFamily="18" charset="0"/>
              </a:defRPr>
            </a:pPr>
            <a:r>
              <a:rPr lang="et-EE" sz="1400">
                <a:latin typeface="Times New Roman" pitchFamily="18" charset="0"/>
                <a:cs typeface="Times New Roman" pitchFamily="18" charset="0"/>
              </a:rPr>
              <a:t>(a)</a:t>
            </a:r>
            <a:endParaRPr lang="en-US" sz="1400">
              <a:latin typeface="Times New Roman" pitchFamily="18" charset="0"/>
              <a:cs typeface="Times New Roman" pitchFamily="18" charset="0"/>
            </a:endParaRPr>
          </a:p>
        </c:rich>
      </c:tx>
      <c:layout>
        <c:manualLayout>
          <c:xMode val="edge"/>
          <c:yMode val="edge"/>
          <c:x val="2.4343194605667952E-2"/>
          <c:y val="4.6846625443065833E-3"/>
        </c:manualLayout>
      </c:layout>
    </c:title>
    <c:plotArea>
      <c:layout>
        <c:manualLayout>
          <c:layoutTarget val="inner"/>
          <c:xMode val="edge"/>
          <c:yMode val="edge"/>
          <c:x val="0.16572213621145893"/>
          <c:y val="2.8763193009251398E-2"/>
          <c:w val="0.68553457744802515"/>
          <c:h val="0.79925183947536393"/>
        </c:manualLayout>
      </c:layout>
      <c:barChart>
        <c:barDir val="col"/>
        <c:grouping val="clustered"/>
        <c:ser>
          <c:idx val="0"/>
          <c:order val="0"/>
          <c:tx>
            <c:v>Paardunud Li-ioonid</c:v>
          </c:tx>
          <c:spPr>
            <a:solidFill>
              <a:schemeClr val="tx1">
                <a:lumMod val="75000"/>
                <a:lumOff val="25000"/>
              </a:schemeClr>
            </a:solidFill>
          </c:spPr>
          <c:dLbls>
            <c:dLbl>
              <c:idx val="0"/>
              <c:layout>
                <c:manualLayout>
                  <c:x val="-5.4054061722929375E-3"/>
                  <c:y val="9.9009900990100746E-3"/>
                </c:manualLayout>
              </c:layout>
              <c:dLblPos val="outEnd"/>
              <c:showVal val="1"/>
            </c:dLbl>
            <c:dLbl>
              <c:idx val="1"/>
              <c:delete val="1"/>
            </c:dLbl>
            <c:dLbl>
              <c:idx val="3"/>
              <c:delete val="1"/>
            </c:dLbl>
            <c:dLbl>
              <c:idx val="4"/>
              <c:layout>
                <c:manualLayout>
                  <c:x val="-5.4054061722929375E-3"/>
                  <c:y val="0"/>
                </c:manualLayout>
              </c:layout>
              <c:dLblPos val="outEnd"/>
              <c:showVal val="1"/>
            </c:dLbl>
            <c:txPr>
              <a:bodyPr/>
              <a:lstStyle/>
              <a:p>
                <a:pPr>
                  <a:defRPr lang="en-US" sz="900"/>
                </a:pPr>
                <a:endParaRPr lang="et-EE"/>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Sheet1!$C$3:$C$8</c:f>
              <c:numCache>
                <c:formatCode>0.0%</c:formatCode>
                <c:ptCount val="6"/>
                <c:pt idx="0">
                  <c:v>0.5</c:v>
                </c:pt>
                <c:pt idx="1">
                  <c:v>0.56399999999999995</c:v>
                </c:pt>
                <c:pt idx="2">
                  <c:v>0.31000000000000238</c:v>
                </c:pt>
                <c:pt idx="3">
                  <c:v>0.28300000000000008</c:v>
                </c:pt>
                <c:pt idx="4">
                  <c:v>0.35500000000000032</c:v>
                </c:pt>
                <c:pt idx="5">
                  <c:v>0.14300000000000004</c:v>
                </c:pt>
              </c:numCache>
            </c:numRef>
          </c:val>
        </c:ser>
        <c:ser>
          <c:idx val="1"/>
          <c:order val="1"/>
          <c:tx>
            <c:v>Paardunud anioonid</c:v>
          </c:tx>
          <c:spPr>
            <a:solidFill>
              <a:srgbClr val="FF0000"/>
            </a:solidFill>
          </c:spPr>
          <c:dLbls>
            <c:dLbl>
              <c:idx val="1"/>
              <c:layout>
                <c:manualLayout>
                  <c:x val="-1.0810812344585849E-2"/>
                  <c:y val="0"/>
                </c:manualLayout>
              </c:layout>
              <c:showVal val="1"/>
            </c:dLbl>
            <c:dLbl>
              <c:idx val="3"/>
              <c:layout>
                <c:manualLayout>
                  <c:x val="-1.0810812344585904E-2"/>
                  <c:y val="-9.9009900990100902E-3"/>
                </c:manualLayout>
              </c:layout>
              <c:showVal val="1"/>
            </c:dLbl>
            <c:txPr>
              <a:bodyPr/>
              <a:lstStyle/>
              <a:p>
                <a:pPr>
                  <a:defRPr lang="en-US" sz="900"/>
                </a:pPr>
                <a:endParaRPr lang="et-EE"/>
              </a:p>
            </c:txPr>
            <c:showVal val="1"/>
          </c:dLbls>
          <c:cat>
            <c:numRef>
              <c:f>Sheet1!$B$3:$B$8</c:f>
              <c:numCache>
                <c:formatCode>General</c:formatCode>
                <c:ptCount val="6"/>
                <c:pt idx="0">
                  <c:v>4</c:v>
                </c:pt>
                <c:pt idx="1">
                  <c:v>6</c:v>
                </c:pt>
                <c:pt idx="2">
                  <c:v>8</c:v>
                </c:pt>
                <c:pt idx="3">
                  <c:v>10</c:v>
                </c:pt>
                <c:pt idx="4">
                  <c:v>12</c:v>
                </c:pt>
                <c:pt idx="5">
                  <c:v>15</c:v>
                </c:pt>
              </c:numCache>
            </c:numRef>
          </c:cat>
          <c:val>
            <c:numRef>
              <c:f>Sheet1!$D$3:$D$8</c:f>
              <c:numCache>
                <c:formatCode>0.0%</c:formatCode>
                <c:ptCount val="6"/>
                <c:pt idx="0">
                  <c:v>0.52</c:v>
                </c:pt>
                <c:pt idx="1">
                  <c:v>0.56399999999999995</c:v>
                </c:pt>
                <c:pt idx="2">
                  <c:v>0.37900000000000317</c:v>
                </c:pt>
                <c:pt idx="3">
                  <c:v>0.28300000000000008</c:v>
                </c:pt>
                <c:pt idx="4">
                  <c:v>0.40300000000000002</c:v>
                </c:pt>
                <c:pt idx="5">
                  <c:v>0.23800000000000004</c:v>
                </c:pt>
              </c:numCache>
            </c:numRef>
          </c:val>
        </c:ser>
        <c:dLbls>
          <c:showVal val="1"/>
        </c:dLbls>
        <c:axId val="109803008"/>
        <c:axId val="109804928"/>
      </c:barChart>
      <c:catAx>
        <c:axId val="109803008"/>
        <c:scaling>
          <c:orientation val="minMax"/>
        </c:scaling>
        <c:axPos val="b"/>
        <c:title>
          <c:tx>
            <c:rich>
              <a:bodyPr/>
              <a:lstStyle/>
              <a:p>
                <a:pPr>
                  <a:defRPr lang="en-US"/>
                </a:pPr>
                <a:r>
                  <a:rPr lang="et-EE" sz="1000" b="1" i="0" baseline="0">
                    <a:latin typeface="Times New Roman" pitchFamily="18" charset="0"/>
                    <a:cs typeface="Times New Roman" pitchFamily="18" charset="0"/>
                  </a:rPr>
                  <a:t>Kõrvalahelate pikkus</a:t>
                </a:r>
                <a:endParaRPr lang="en-US" sz="1000" b="1" i="0" baseline="0">
                  <a:latin typeface="Times New Roman" pitchFamily="18" charset="0"/>
                  <a:cs typeface="Times New Roman" pitchFamily="18" charset="0"/>
                </a:endParaRPr>
              </a:p>
            </c:rich>
          </c:tx>
        </c:title>
        <c:numFmt formatCode="General" sourceLinked="1"/>
        <c:tickLblPos val="low"/>
        <c:txPr>
          <a:bodyPr/>
          <a:lstStyle/>
          <a:p>
            <a:pPr>
              <a:defRPr lang="en-US" sz="900"/>
            </a:pPr>
            <a:endParaRPr lang="et-EE"/>
          </a:p>
        </c:txPr>
        <c:crossAx val="109804928"/>
        <c:crosses val="autoZero"/>
        <c:auto val="1"/>
        <c:lblAlgn val="ctr"/>
        <c:lblOffset val="100"/>
      </c:catAx>
      <c:valAx>
        <c:axId val="109804928"/>
        <c:scaling>
          <c:orientation val="minMax"/>
          <c:max val="1"/>
        </c:scaling>
        <c:axPos val="l"/>
        <c:title>
          <c:tx>
            <c:rich>
              <a:bodyPr rot="-5400000" vert="horz"/>
              <a:lstStyle/>
              <a:p>
                <a:pPr>
                  <a:defRPr lang="en-US"/>
                </a:pPr>
                <a:r>
                  <a:rPr lang="et-EE" sz="1000">
                    <a:latin typeface="Times New Roman" pitchFamily="18" charset="0"/>
                    <a:cs typeface="Times New Roman" pitchFamily="18" charset="0"/>
                  </a:rPr>
                  <a:t>Osakaal</a:t>
                </a:r>
                <a:endParaRPr lang="en-US" sz="1000">
                  <a:latin typeface="Times New Roman" pitchFamily="18" charset="0"/>
                  <a:cs typeface="Times New Roman" pitchFamily="18" charset="0"/>
                </a:endParaRPr>
              </a:p>
            </c:rich>
          </c:tx>
        </c:title>
        <c:numFmt formatCode="0.0%" sourceLinked="1"/>
        <c:tickLblPos val="nextTo"/>
        <c:txPr>
          <a:bodyPr/>
          <a:lstStyle/>
          <a:p>
            <a:pPr>
              <a:defRPr lang="en-US" sz="900"/>
            </a:pPr>
            <a:endParaRPr lang="et-EE"/>
          </a:p>
        </c:txPr>
        <c:crossAx val="109803008"/>
        <c:crosses val="autoZero"/>
        <c:crossBetween val="between"/>
        <c:majorUnit val="0.2"/>
      </c:valAx>
    </c:plotArea>
    <c:legend>
      <c:legendPos val="r"/>
      <c:layout>
        <c:manualLayout>
          <c:xMode val="edge"/>
          <c:yMode val="edge"/>
          <c:x val="0.60898204579479098"/>
          <c:y val="8.1591309066500028E-2"/>
          <c:w val="0.37057870298757684"/>
          <c:h val="0.19595546621703855"/>
        </c:manualLayout>
      </c:layout>
      <c:txPr>
        <a:bodyPr/>
        <a:lstStyle/>
        <a:p>
          <a:pPr>
            <a:defRPr lang="en-US" sz="1000">
              <a:latin typeface="Times New Roman" pitchFamily="18" charset="0"/>
              <a:cs typeface="Times New Roman" pitchFamily="18" charset="0"/>
            </a:defRPr>
          </a:pPr>
          <a:endParaRPr lang="et-EE"/>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defRPr lang="en-US"/>
            </a:pPr>
            <a:r>
              <a:rPr lang="et-EE" sz="1400">
                <a:latin typeface="Times New Roman" pitchFamily="18" charset="0"/>
                <a:cs typeface="Times New Roman" pitchFamily="18" charset="0"/>
              </a:rPr>
              <a:t>(b)</a:t>
            </a:r>
            <a:endParaRPr lang="en-US" sz="1400">
              <a:latin typeface="Times New Roman" pitchFamily="18" charset="0"/>
              <a:cs typeface="Times New Roman" pitchFamily="18" charset="0"/>
            </a:endParaRPr>
          </a:p>
        </c:rich>
      </c:tx>
      <c:layout>
        <c:manualLayout>
          <c:xMode val="edge"/>
          <c:yMode val="edge"/>
          <c:x val="1.8120421035218885E-2"/>
          <c:y val="2.9999860260518552E-3"/>
        </c:manualLayout>
      </c:layout>
      <c:overlay val="1"/>
    </c:title>
    <c:plotArea>
      <c:layout>
        <c:manualLayout>
          <c:layoutTarget val="inner"/>
          <c:xMode val="edge"/>
          <c:yMode val="edge"/>
          <c:x val="0.14788884425798571"/>
          <c:y val="3.140424204937578E-2"/>
          <c:w val="0.62371262005400063"/>
          <c:h val="0.80604380612103665"/>
        </c:manualLayout>
      </c:layout>
      <c:barChart>
        <c:barDir val="col"/>
        <c:grouping val="clustered"/>
        <c:ser>
          <c:idx val="0"/>
          <c:order val="0"/>
          <c:tx>
            <c:v>1 aniooniga koordineeritud Li-ioonid</c:v>
          </c:tx>
          <c:spPr>
            <a:solidFill>
              <a:schemeClr val="tx1">
                <a:lumMod val="75000"/>
                <a:lumOff val="25000"/>
              </a:schemeClr>
            </a:solidFill>
          </c:spPr>
          <c:dLbls>
            <c:dLbl>
              <c:idx val="1"/>
              <c:layout>
                <c:manualLayout>
                  <c:x val="3.4456668991142865E-3"/>
                  <c:y val="-0.31946578331702558"/>
                </c:manualLayout>
              </c:layout>
              <c:dLblPos val="ctr"/>
              <c:showVal val="1"/>
            </c:dLbl>
            <c:dLbl>
              <c:idx val="5"/>
              <c:layout>
                <c:manualLayout>
                  <c:x val="1.2612614402016654E-2"/>
                  <c:y val="0"/>
                </c:manualLayout>
              </c:layout>
              <c:tx>
                <c:rich>
                  <a:bodyPr/>
                  <a:lstStyle/>
                  <a:p>
                    <a:r>
                      <a:rPr lang="et-EE" sz="900"/>
                      <a:t>44</a:t>
                    </a:r>
                    <a:r>
                      <a:rPr lang="en-US" sz="900"/>
                      <a:t>,4%</a:t>
                    </a:r>
                  </a:p>
                </c:rich>
              </c:tx>
              <c:dLblPos val="outEnd"/>
              <c:showVal val="1"/>
            </c:dLbl>
            <c:txPr>
              <a:bodyPr/>
              <a:lstStyle/>
              <a:p>
                <a:pPr>
                  <a:defRPr lang="en-US" sz="900"/>
                </a:pPr>
                <a:endParaRPr lang="et-EE"/>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Sheet1!$G$3:$G$8</c:f>
              <c:numCache>
                <c:formatCode>0.0%</c:formatCode>
                <c:ptCount val="6"/>
                <c:pt idx="0">
                  <c:v>0.60000000000000064</c:v>
                </c:pt>
                <c:pt idx="1">
                  <c:v>0.67700000000000882</c:v>
                </c:pt>
                <c:pt idx="2">
                  <c:v>0.5</c:v>
                </c:pt>
                <c:pt idx="3">
                  <c:v>0.82399999999999995</c:v>
                </c:pt>
                <c:pt idx="4">
                  <c:v>0.77300000000000768</c:v>
                </c:pt>
                <c:pt idx="5">
                  <c:v>0.44400000000000001</c:v>
                </c:pt>
              </c:numCache>
            </c:numRef>
          </c:val>
        </c:ser>
        <c:ser>
          <c:idx val="1"/>
          <c:order val="1"/>
          <c:tx>
            <c:v>2 aniooniga koordineeritud Li-ioonid</c:v>
          </c:tx>
          <c:spPr>
            <a:solidFill>
              <a:srgbClr val="FF0000"/>
            </a:solidFill>
          </c:spPr>
          <c:dLbls>
            <c:dLbl>
              <c:idx val="0"/>
              <c:layout>
                <c:manualLayout>
                  <c:x val="9.0090102871547544E-3"/>
                  <c:y val="0"/>
                </c:manualLayout>
              </c:layout>
              <c:dLblPos val="outEnd"/>
              <c:showVal val="1"/>
            </c:dLbl>
            <c:dLbl>
              <c:idx val="1"/>
              <c:layout>
                <c:manualLayout>
                  <c:x val="9.0090102871547544E-3"/>
                  <c:y val="0"/>
                </c:manualLayout>
              </c:layout>
              <c:dLblPos val="outEnd"/>
              <c:showVal val="1"/>
            </c:dLbl>
            <c:dLbl>
              <c:idx val="2"/>
              <c:layout>
                <c:manualLayout>
                  <c:x val="9.0090102871547544E-3"/>
                  <c:y val="7.6481835564053465E-3"/>
                </c:manualLayout>
              </c:layout>
              <c:dLblPos val="outEnd"/>
              <c:showVal val="1"/>
            </c:dLbl>
            <c:dLbl>
              <c:idx val="3"/>
              <c:layout>
                <c:manualLayout>
                  <c:x val="1.0810812344585741E-2"/>
                  <c:y val="-2.0073972588991607E-7"/>
                </c:manualLayout>
              </c:layout>
              <c:dLblPos val="outEnd"/>
              <c:showVal val="1"/>
            </c:dLbl>
            <c:dLbl>
              <c:idx val="4"/>
              <c:layout>
                <c:manualLayout>
                  <c:x val="1.0810812344585741E-2"/>
                  <c:y val="0"/>
                </c:manualLayout>
              </c:layout>
              <c:spPr/>
              <c:txPr>
                <a:bodyPr/>
                <a:lstStyle/>
                <a:p>
                  <a:pPr lvl="1" algn="ctr" rtl="0">
                    <a:defRPr lang="en-US" sz="900" b="0" i="0" u="none" strike="noStrike" kern="1200" baseline="0">
                      <a:solidFill>
                        <a:sysClr val="windowText" lastClr="000000"/>
                      </a:solidFill>
                      <a:latin typeface="+mn-lt"/>
                      <a:ea typeface="+mn-ea"/>
                      <a:cs typeface="+mn-cs"/>
                    </a:defRPr>
                  </a:pPr>
                  <a:endParaRPr lang="et-EE"/>
                </a:p>
              </c:txPr>
              <c:dLblPos val="outEnd"/>
              <c:showVal val="1"/>
            </c:dLbl>
            <c:dLbl>
              <c:idx val="5"/>
              <c:delete val="1"/>
            </c:dLbl>
            <c:txPr>
              <a:bodyPr/>
              <a:lstStyle/>
              <a:p>
                <a:pPr>
                  <a:defRPr lang="en-US" sz="900"/>
                </a:pPr>
                <a:endParaRPr lang="et-EE"/>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Sheet1!$H$3:$H$8</c:f>
              <c:numCache>
                <c:formatCode>0.0%</c:formatCode>
                <c:ptCount val="6"/>
                <c:pt idx="0">
                  <c:v>0.32000000000000384</c:v>
                </c:pt>
                <c:pt idx="1">
                  <c:v>0.32300000000000384</c:v>
                </c:pt>
                <c:pt idx="2">
                  <c:v>0.44400000000000001</c:v>
                </c:pt>
                <c:pt idx="3">
                  <c:v>0.11799999999999998</c:v>
                </c:pt>
                <c:pt idx="4">
                  <c:v>0.22700000000000001</c:v>
                </c:pt>
                <c:pt idx="5">
                  <c:v>0.44400000000000001</c:v>
                </c:pt>
              </c:numCache>
            </c:numRef>
          </c:val>
        </c:ser>
        <c:ser>
          <c:idx val="2"/>
          <c:order val="2"/>
          <c:tx>
            <c:v>3 aniooniga koordineeritud Li-ioonid</c:v>
          </c:tx>
          <c:spPr>
            <a:solidFill>
              <a:srgbClr val="0070C0"/>
            </a:solidFill>
          </c:spPr>
          <c:dLbls>
            <c:dLbl>
              <c:idx val="0"/>
              <c:layout>
                <c:manualLayout>
                  <c:x val="5.4054061722929123E-3"/>
                  <c:y val="-9.3476719171701119E-17"/>
                </c:manualLayout>
              </c:layout>
              <c:dLblPos val="outEnd"/>
              <c:showVal val="1"/>
            </c:dLbl>
            <c:dLbl>
              <c:idx val="1"/>
              <c:layout>
                <c:manualLayout>
                  <c:x val="7.2072082297239088E-3"/>
                  <c:y val="0"/>
                </c:manualLayout>
              </c:layout>
              <c:dLblPos val="outEnd"/>
              <c:showVal val="1"/>
            </c:dLbl>
            <c:dLbl>
              <c:idx val="2"/>
              <c:layout>
                <c:manualLayout>
                  <c:x val="7.2072082297239088E-3"/>
                  <c:y val="9.3476719171701119E-17"/>
                </c:manualLayout>
              </c:layout>
              <c:dLblPos val="outEnd"/>
              <c:showVal val="1"/>
            </c:dLbl>
            <c:dLbl>
              <c:idx val="3"/>
              <c:layout>
                <c:manualLayout>
                  <c:x val="5.4054061722929123E-3"/>
                  <c:y val="0"/>
                </c:manualLayout>
              </c:layout>
              <c:dLblPos val="outEnd"/>
              <c:showVal val="1"/>
            </c:dLbl>
            <c:dLbl>
              <c:idx val="4"/>
              <c:layout>
                <c:manualLayout>
                  <c:x val="5.4054061722929123E-3"/>
                  <c:y val="0"/>
                </c:manualLayout>
              </c:layout>
              <c:dLblPos val="outEnd"/>
              <c:showVal val="1"/>
            </c:dLbl>
            <c:dLbl>
              <c:idx val="5"/>
              <c:layout>
                <c:manualLayout>
                  <c:x val="1.2612614402016654E-2"/>
                  <c:y val="-2.5495952585277487E-3"/>
                </c:manualLayout>
              </c:layout>
              <c:dLblPos val="outEnd"/>
              <c:showVal val="1"/>
            </c:dLbl>
            <c:txPr>
              <a:bodyPr/>
              <a:lstStyle/>
              <a:p>
                <a:pPr>
                  <a:defRPr lang="en-US" sz="900"/>
                </a:pPr>
                <a:endParaRPr lang="et-EE"/>
              </a:p>
            </c:txPr>
            <c:dLblPos val="outEnd"/>
            <c:showVal val="1"/>
          </c:dLbls>
          <c:val>
            <c:numRef>
              <c:f>Sheet1!$I$3:$I$8</c:f>
              <c:numCache>
                <c:formatCode>0.0%</c:formatCode>
                <c:ptCount val="6"/>
                <c:pt idx="0">
                  <c:v>8.0000000000000043E-2</c:v>
                </c:pt>
                <c:pt idx="1">
                  <c:v>0</c:v>
                </c:pt>
                <c:pt idx="2">
                  <c:v>5.6000000000000001E-2</c:v>
                </c:pt>
                <c:pt idx="3">
                  <c:v>5.8000000000000003E-2</c:v>
                </c:pt>
                <c:pt idx="4">
                  <c:v>0</c:v>
                </c:pt>
                <c:pt idx="5">
                  <c:v>0.112</c:v>
                </c:pt>
              </c:numCache>
            </c:numRef>
          </c:val>
        </c:ser>
        <c:dLbls>
          <c:showVal val="1"/>
        </c:dLbls>
        <c:axId val="114428544"/>
        <c:axId val="114447104"/>
      </c:barChart>
      <c:catAx>
        <c:axId val="114428544"/>
        <c:scaling>
          <c:orientation val="minMax"/>
        </c:scaling>
        <c:axPos val="b"/>
        <c:title>
          <c:tx>
            <c:rich>
              <a:bodyPr/>
              <a:lstStyle/>
              <a:p>
                <a:pPr>
                  <a:defRPr lang="en-US"/>
                </a:pPr>
                <a:r>
                  <a:rPr lang="et-EE" sz="1000" b="1" i="0" baseline="0">
                    <a:latin typeface="Times New Roman" pitchFamily="18" charset="0"/>
                    <a:cs typeface="Times New Roman" pitchFamily="18" charset="0"/>
                  </a:rPr>
                  <a:t>Kõrvalahelate pikkus</a:t>
                </a:r>
                <a:endParaRPr lang="en-US" sz="1000" b="1" i="0" baseline="0">
                  <a:latin typeface="Times New Roman" pitchFamily="18" charset="0"/>
                  <a:cs typeface="Times New Roman" pitchFamily="18" charset="0"/>
                </a:endParaRPr>
              </a:p>
            </c:rich>
          </c:tx>
        </c:title>
        <c:numFmt formatCode="General" sourceLinked="1"/>
        <c:tickLblPos val="low"/>
        <c:txPr>
          <a:bodyPr/>
          <a:lstStyle/>
          <a:p>
            <a:pPr>
              <a:defRPr lang="en-US" sz="900"/>
            </a:pPr>
            <a:endParaRPr lang="et-EE"/>
          </a:p>
        </c:txPr>
        <c:crossAx val="114447104"/>
        <c:crosses val="autoZero"/>
        <c:auto val="1"/>
        <c:lblAlgn val="ctr"/>
        <c:lblOffset val="100"/>
      </c:catAx>
      <c:valAx>
        <c:axId val="114447104"/>
        <c:scaling>
          <c:orientation val="minMax"/>
          <c:max val="1"/>
        </c:scaling>
        <c:axPos val="l"/>
        <c:title>
          <c:tx>
            <c:rich>
              <a:bodyPr rot="-5400000" vert="horz"/>
              <a:lstStyle/>
              <a:p>
                <a:pPr>
                  <a:defRPr lang="en-US"/>
                </a:pPr>
                <a:r>
                  <a:rPr lang="et-EE" sz="1000" b="1" i="0" baseline="0">
                    <a:latin typeface="Times New Roman" pitchFamily="18" charset="0"/>
                    <a:cs typeface="Times New Roman" pitchFamily="18" charset="0"/>
                  </a:rPr>
                  <a:t>Osakaal</a:t>
                </a:r>
                <a:endParaRPr lang="en-US" sz="1000" b="1" i="0" baseline="0">
                  <a:latin typeface="Times New Roman" pitchFamily="18" charset="0"/>
                  <a:cs typeface="Times New Roman" pitchFamily="18" charset="0"/>
                </a:endParaRPr>
              </a:p>
            </c:rich>
          </c:tx>
        </c:title>
        <c:numFmt formatCode="0.0%" sourceLinked="1"/>
        <c:tickLblPos val="nextTo"/>
        <c:txPr>
          <a:bodyPr/>
          <a:lstStyle/>
          <a:p>
            <a:pPr>
              <a:defRPr lang="en-US" sz="900" baseline="0"/>
            </a:pPr>
            <a:endParaRPr lang="et-EE"/>
          </a:p>
        </c:txPr>
        <c:crossAx val="114428544"/>
        <c:crosses val="autoZero"/>
        <c:crossBetween val="between"/>
        <c:majorUnit val="0.2"/>
      </c:valAx>
      <c:spPr>
        <a:ln>
          <a:noFill/>
        </a:ln>
      </c:spPr>
    </c:plotArea>
    <c:legend>
      <c:legendPos val="r"/>
      <c:layout>
        <c:manualLayout>
          <c:xMode val="edge"/>
          <c:yMode val="edge"/>
          <c:x val="0.61088685068144744"/>
          <c:y val="0"/>
          <c:w val="0.34422411386610491"/>
          <c:h val="0.26320630033839021"/>
        </c:manualLayout>
      </c:layout>
      <c:txPr>
        <a:bodyPr/>
        <a:lstStyle/>
        <a:p>
          <a:pPr>
            <a:defRPr lang="en-US" sz="1000">
              <a:latin typeface="Times New Roman" pitchFamily="18" charset="0"/>
              <a:cs typeface="Times New Roman" pitchFamily="18" charset="0"/>
            </a:defRPr>
          </a:pPr>
          <a:endParaRPr lang="et-EE"/>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0628918403060372"/>
          <c:y val="3.4673585680705658E-2"/>
          <c:w val="0.87662822635643134"/>
          <c:h val="0.8043280473936647"/>
        </c:manualLayout>
      </c:layout>
      <c:barChart>
        <c:barDir val="col"/>
        <c:grouping val="clustered"/>
        <c:ser>
          <c:idx val="0"/>
          <c:order val="0"/>
          <c:tx>
            <c:v>üks kõrvalahel</c:v>
          </c:tx>
          <c:spPr>
            <a:solidFill>
              <a:schemeClr val="tx1">
                <a:lumMod val="75000"/>
                <a:lumOff val="25000"/>
              </a:schemeClr>
            </a:solidFill>
          </c:spPr>
          <c:dLbls>
            <c:dLbl>
              <c:idx val="1"/>
              <c:layout>
                <c:manualLayout>
                  <c:x val="5.4054061722929123E-3"/>
                  <c:y val="-0.24474187380497353"/>
                </c:manualLayout>
              </c:layout>
              <c:dLblPos val="ctr"/>
              <c:showVal val="1"/>
            </c:dLbl>
            <c:dLbl>
              <c:idx val="5"/>
              <c:layout>
                <c:manualLayout>
                  <c:x val="1.2612614402016654E-2"/>
                  <c:y val="0"/>
                </c:manualLayout>
              </c:layout>
              <c:tx>
                <c:rich>
                  <a:bodyPr/>
                  <a:lstStyle/>
                  <a:p>
                    <a:r>
                      <a:rPr lang="et-EE" sz="900"/>
                      <a:t>68</a:t>
                    </a:r>
                    <a:r>
                      <a:rPr lang="en-US" sz="900"/>
                      <a:t>,</a:t>
                    </a:r>
                    <a:r>
                      <a:rPr lang="et-EE" sz="900"/>
                      <a:t>3</a:t>
                    </a:r>
                    <a:r>
                      <a:rPr lang="en-US" sz="900"/>
                      <a:t>%</a:t>
                    </a:r>
                  </a:p>
                </c:rich>
              </c:tx>
              <c:dLblPos val="outEnd"/>
              <c:showVal val="1"/>
            </c:dLbl>
            <c:txPr>
              <a:bodyPr/>
              <a:lstStyle/>
              <a:p>
                <a:pPr>
                  <a:defRPr lang="en-US" sz="900"/>
                </a:pPr>
                <a:endParaRPr lang="et-EE"/>
              </a:p>
            </c:txPr>
            <c:dLblPos val="outEnd"/>
            <c:showVal val="1"/>
          </c:dLbls>
          <c:cat>
            <c:numRef>
              <c:f>'C:\Documents and Settings\IBM\Desktop\[histogrammid.xlsx]Sheet1'!$B$3:$B$8</c:f>
              <c:numCache>
                <c:formatCode>General</c:formatCode>
                <c:ptCount val="6"/>
                <c:pt idx="0">
                  <c:v>4</c:v>
                </c:pt>
                <c:pt idx="1">
                  <c:v>6</c:v>
                </c:pt>
                <c:pt idx="2">
                  <c:v>8</c:v>
                </c:pt>
                <c:pt idx="3">
                  <c:v>10</c:v>
                </c:pt>
                <c:pt idx="4">
                  <c:v>12</c:v>
                </c:pt>
                <c:pt idx="5">
                  <c:v>15</c:v>
                </c:pt>
              </c:numCache>
            </c:numRef>
          </c:cat>
          <c:val>
            <c:numRef>
              <c:f>Sheet1!$C$3:$C$8</c:f>
              <c:numCache>
                <c:formatCode>0.0%</c:formatCode>
                <c:ptCount val="6"/>
                <c:pt idx="0">
                  <c:v>0.16</c:v>
                </c:pt>
                <c:pt idx="1">
                  <c:v>0.45500000000000002</c:v>
                </c:pt>
                <c:pt idx="2">
                  <c:v>0.65500000000000835</c:v>
                </c:pt>
                <c:pt idx="3">
                  <c:v>0.78300000000000003</c:v>
                </c:pt>
                <c:pt idx="4">
                  <c:v>0.58099999999999996</c:v>
                </c:pt>
                <c:pt idx="5">
                  <c:v>0.68300000000000005</c:v>
                </c:pt>
              </c:numCache>
            </c:numRef>
          </c:val>
        </c:ser>
        <c:ser>
          <c:idx val="1"/>
          <c:order val="1"/>
          <c:tx>
            <c:v>erinev osa ühest kõrvalahelast</c:v>
          </c:tx>
          <c:spPr>
            <a:solidFill>
              <a:srgbClr val="66FF33"/>
            </a:solidFill>
          </c:spPr>
          <c:dLbls>
            <c:dLbl>
              <c:idx val="0"/>
              <c:layout>
                <c:manualLayout>
                  <c:x val="9.0090102871547544E-3"/>
                  <c:y val="0"/>
                </c:manualLayout>
              </c:layout>
              <c:dLblPos val="outEnd"/>
              <c:showVal val="1"/>
            </c:dLbl>
            <c:dLbl>
              <c:idx val="1"/>
              <c:layout>
                <c:manualLayout>
                  <c:x val="9.0090102871547544E-3"/>
                  <c:y val="0"/>
                </c:manualLayout>
              </c:layout>
              <c:dLblPos val="outEnd"/>
              <c:showVal val="1"/>
            </c:dLbl>
            <c:dLbl>
              <c:idx val="2"/>
              <c:layout>
                <c:manualLayout>
                  <c:x val="9.0090102871547544E-3"/>
                  <c:y val="7.6481835564053465E-3"/>
                </c:manualLayout>
              </c:layout>
              <c:dLblPos val="outEnd"/>
              <c:showVal val="1"/>
            </c:dLbl>
            <c:dLbl>
              <c:idx val="3"/>
              <c:layout>
                <c:manualLayout>
                  <c:x val="1.0810812344585741E-2"/>
                  <c:y val="-2.0073972588991679E-7"/>
                </c:manualLayout>
              </c:layout>
              <c:dLblPos val="outEnd"/>
              <c:showVal val="1"/>
            </c:dLbl>
            <c:dLbl>
              <c:idx val="4"/>
              <c:layout>
                <c:manualLayout>
                  <c:x val="1.0810812344585741E-2"/>
                  <c:y val="0"/>
                </c:manualLayout>
              </c:layout>
              <c:spPr/>
              <c:txPr>
                <a:bodyPr/>
                <a:lstStyle/>
                <a:p>
                  <a:pPr lvl="1" algn="ctr" rtl="0">
                    <a:defRPr lang="en-US" sz="900" b="0" i="0" u="none" strike="noStrike" kern="1200" baseline="0">
                      <a:solidFill>
                        <a:sysClr val="windowText" lastClr="000000"/>
                      </a:solidFill>
                      <a:latin typeface="+mn-lt"/>
                      <a:ea typeface="+mn-ea"/>
                      <a:cs typeface="+mn-cs"/>
                    </a:defRPr>
                  </a:pPr>
                  <a:endParaRPr lang="et-EE"/>
                </a:p>
              </c:txPr>
              <c:dLblPos val="outEnd"/>
              <c:showVal val="1"/>
            </c:dLbl>
            <c:dLbl>
              <c:idx val="5"/>
              <c:delete val="1"/>
            </c:dLbl>
            <c:txPr>
              <a:bodyPr/>
              <a:lstStyle/>
              <a:p>
                <a:pPr>
                  <a:defRPr lang="en-US" sz="900"/>
                </a:pPr>
                <a:endParaRPr lang="et-EE"/>
              </a:p>
            </c:txPr>
            <c:dLblPos val="outEnd"/>
            <c:showVal val="1"/>
          </c:dLbls>
          <c:cat>
            <c:numRef>
              <c:f>'C:\Documents and Settings\IBM\Desktop\[histogrammid.xlsx]Sheet1'!$B$3:$B$8</c:f>
              <c:numCache>
                <c:formatCode>General</c:formatCode>
                <c:ptCount val="6"/>
                <c:pt idx="0">
                  <c:v>4</c:v>
                </c:pt>
                <c:pt idx="1">
                  <c:v>6</c:v>
                </c:pt>
                <c:pt idx="2">
                  <c:v>8</c:v>
                </c:pt>
                <c:pt idx="3">
                  <c:v>10</c:v>
                </c:pt>
                <c:pt idx="4">
                  <c:v>12</c:v>
                </c:pt>
                <c:pt idx="5">
                  <c:v>15</c:v>
                </c:pt>
              </c:numCache>
            </c:numRef>
          </c:cat>
          <c:val>
            <c:numRef>
              <c:f>Sheet1!$D$3:$D$8</c:f>
              <c:numCache>
                <c:formatCode>0.0%</c:formatCode>
                <c:ptCount val="6"/>
                <c:pt idx="0">
                  <c:v>0</c:v>
                </c:pt>
                <c:pt idx="1">
                  <c:v>1.7999999999999999E-2</c:v>
                </c:pt>
                <c:pt idx="2">
                  <c:v>0</c:v>
                </c:pt>
                <c:pt idx="3">
                  <c:v>1.7000000000000001E-2</c:v>
                </c:pt>
                <c:pt idx="4">
                  <c:v>0</c:v>
                </c:pt>
                <c:pt idx="5">
                  <c:v>3.2000000000000042E-2</c:v>
                </c:pt>
              </c:numCache>
            </c:numRef>
          </c:val>
        </c:ser>
        <c:ser>
          <c:idx val="2"/>
          <c:order val="2"/>
          <c:tx>
            <c:v>naaber kõrvalahelad</c:v>
          </c:tx>
          <c:spPr>
            <a:solidFill>
              <a:srgbClr val="0070C0"/>
            </a:solidFill>
          </c:spPr>
          <c:dLbls>
            <c:dLbl>
              <c:idx val="0"/>
              <c:layout>
                <c:manualLayout>
                  <c:x val="5.4054061722929123E-3"/>
                  <c:y val="-9.3476719171701427E-17"/>
                </c:manualLayout>
              </c:layout>
              <c:dLblPos val="outEnd"/>
              <c:showVal val="1"/>
            </c:dLbl>
            <c:dLbl>
              <c:idx val="1"/>
              <c:layout>
                <c:manualLayout>
                  <c:x val="7.2072082297239114E-3"/>
                  <c:y val="0"/>
                </c:manualLayout>
              </c:layout>
              <c:dLblPos val="outEnd"/>
              <c:showVal val="1"/>
            </c:dLbl>
            <c:dLbl>
              <c:idx val="2"/>
              <c:layout>
                <c:manualLayout>
                  <c:x val="7.2072082297239114E-3"/>
                  <c:y val="9.3476719171701427E-17"/>
                </c:manualLayout>
              </c:layout>
              <c:dLblPos val="outEnd"/>
              <c:showVal val="1"/>
            </c:dLbl>
            <c:dLbl>
              <c:idx val="3"/>
              <c:layout>
                <c:manualLayout>
                  <c:x val="0.2853200080759174"/>
                  <c:y val="-3.0297929641474652E-2"/>
                </c:manualLayout>
              </c:layout>
              <c:tx>
                <c:rich>
                  <a:bodyPr/>
                  <a:lstStyle/>
                  <a:p>
                    <a:r>
                      <a:rPr lang="et-EE" sz="900"/>
                      <a:t>3</a:t>
                    </a:r>
                    <a:r>
                      <a:rPr lang="en-US" sz="900"/>
                      <a:t>,</a:t>
                    </a:r>
                    <a:r>
                      <a:rPr lang="et-EE" sz="900"/>
                      <a:t>2</a:t>
                    </a:r>
                    <a:r>
                      <a:rPr lang="en-US" sz="900"/>
                      <a:t>%</a:t>
                    </a:r>
                  </a:p>
                </c:rich>
              </c:tx>
              <c:dLblPos val="outEnd"/>
              <c:showVal val="1"/>
            </c:dLbl>
            <c:dLbl>
              <c:idx val="4"/>
              <c:layout>
                <c:manualLayout>
                  <c:x val="5.4054781613837701E-3"/>
                  <c:y val="-1.3465746507321998E-2"/>
                </c:manualLayout>
              </c:layout>
              <c:dLblPos val="outEnd"/>
              <c:showVal val="1"/>
            </c:dLbl>
            <c:dLbl>
              <c:idx val="5"/>
              <c:layout>
                <c:manualLayout>
                  <c:x val="1.2612614402016654E-2"/>
                  <c:y val="-2.5495952585277539E-3"/>
                </c:manualLayout>
              </c:layout>
              <c:dLblPos val="outEnd"/>
              <c:showVal val="1"/>
            </c:dLbl>
            <c:txPr>
              <a:bodyPr/>
              <a:lstStyle/>
              <a:p>
                <a:pPr>
                  <a:defRPr lang="en-US" sz="900"/>
                </a:pPr>
                <a:endParaRPr lang="et-EE"/>
              </a:p>
            </c:txPr>
            <c:dLblPos val="outEnd"/>
            <c:showVal val="1"/>
          </c:dLbls>
          <c:val>
            <c:numRef>
              <c:f>Sheet1!$E$3:$E$8</c:f>
              <c:numCache>
                <c:formatCode>0.0%</c:formatCode>
                <c:ptCount val="6"/>
                <c:pt idx="0">
                  <c:v>0.24000000000000021</c:v>
                </c:pt>
                <c:pt idx="1">
                  <c:v>9.1000000000000025E-2</c:v>
                </c:pt>
                <c:pt idx="2">
                  <c:v>5.1999999999999998E-2</c:v>
                </c:pt>
                <c:pt idx="3">
                  <c:v>1.7000000000000001E-2</c:v>
                </c:pt>
                <c:pt idx="4">
                  <c:v>1.6000000000000021E-2</c:v>
                </c:pt>
                <c:pt idx="5">
                  <c:v>1.6000000000000021E-2</c:v>
                </c:pt>
              </c:numCache>
            </c:numRef>
          </c:val>
        </c:ser>
        <c:ser>
          <c:idx val="3"/>
          <c:order val="3"/>
          <c:tx>
            <c:v>teised kõrvalahelad</c:v>
          </c:tx>
          <c:spPr>
            <a:solidFill>
              <a:srgbClr val="FF0000"/>
            </a:solidFill>
          </c:spPr>
          <c:dLbls>
            <c:txPr>
              <a:bodyPr/>
              <a:lstStyle/>
              <a:p>
                <a:pPr>
                  <a:defRPr lang="en-US" sz="900"/>
                </a:pPr>
                <a:endParaRPr lang="et-EE"/>
              </a:p>
            </c:txPr>
            <c:showVal val="1"/>
          </c:dLbls>
          <c:val>
            <c:numRef>
              <c:f>Sheet1!$F$3:$F$8</c:f>
              <c:numCache>
                <c:formatCode>0.0%</c:formatCode>
                <c:ptCount val="6"/>
                <c:pt idx="0">
                  <c:v>0.60000000000000064</c:v>
                </c:pt>
                <c:pt idx="1">
                  <c:v>0.43600000000000338</c:v>
                </c:pt>
                <c:pt idx="2">
                  <c:v>0.29300000000000032</c:v>
                </c:pt>
                <c:pt idx="3">
                  <c:v>0.18300000000000041</c:v>
                </c:pt>
                <c:pt idx="4">
                  <c:v>0.40300000000000002</c:v>
                </c:pt>
                <c:pt idx="5">
                  <c:v>0.26900000000000002</c:v>
                </c:pt>
              </c:numCache>
            </c:numRef>
          </c:val>
        </c:ser>
        <c:dLbls>
          <c:showVal val="1"/>
        </c:dLbls>
        <c:axId val="114558080"/>
        <c:axId val="114560000"/>
      </c:barChart>
      <c:catAx>
        <c:axId val="114558080"/>
        <c:scaling>
          <c:orientation val="minMax"/>
        </c:scaling>
        <c:axPos val="b"/>
        <c:title>
          <c:tx>
            <c:rich>
              <a:bodyPr/>
              <a:lstStyle/>
              <a:p>
                <a:pPr>
                  <a:defRPr lang="en-US"/>
                </a:pPr>
                <a:r>
                  <a:rPr lang="et-EE">
                    <a:latin typeface="Times New Roman" pitchFamily="18" charset="0"/>
                    <a:cs typeface="Times New Roman" pitchFamily="18" charset="0"/>
                  </a:rPr>
                  <a:t>Kõrvalahelate pikkus</a:t>
                </a:r>
                <a:endParaRPr lang="en-US">
                  <a:latin typeface="Times New Roman" pitchFamily="18" charset="0"/>
                  <a:cs typeface="Times New Roman" pitchFamily="18" charset="0"/>
                </a:endParaRPr>
              </a:p>
            </c:rich>
          </c:tx>
          <c:layout>
            <c:manualLayout>
              <c:xMode val="edge"/>
              <c:yMode val="edge"/>
              <c:x val="0.44617420418601522"/>
              <c:y val="0.92043403103223487"/>
            </c:manualLayout>
          </c:layout>
        </c:title>
        <c:numFmt formatCode="General" sourceLinked="1"/>
        <c:tickLblPos val="low"/>
        <c:txPr>
          <a:bodyPr/>
          <a:lstStyle/>
          <a:p>
            <a:pPr>
              <a:defRPr lang="en-US"/>
            </a:pPr>
            <a:endParaRPr lang="et-EE"/>
          </a:p>
        </c:txPr>
        <c:crossAx val="114560000"/>
        <c:crosses val="autoZero"/>
        <c:auto val="1"/>
        <c:lblAlgn val="ctr"/>
        <c:lblOffset val="100"/>
      </c:catAx>
      <c:valAx>
        <c:axId val="114560000"/>
        <c:scaling>
          <c:orientation val="minMax"/>
          <c:max val="1"/>
        </c:scaling>
        <c:axPos val="l"/>
        <c:title>
          <c:tx>
            <c:rich>
              <a:bodyPr rot="-5400000" vert="horz"/>
              <a:lstStyle/>
              <a:p>
                <a:pPr>
                  <a:defRPr lang="en-US"/>
                </a:pPr>
                <a:r>
                  <a:rPr lang="et-EE" sz="1100" b="1" i="0" u="none" strike="noStrike" baseline="0">
                    <a:latin typeface="Times New Roman" pitchFamily="18" charset="0"/>
                    <a:cs typeface="Times New Roman" pitchFamily="18" charset="0"/>
                  </a:rPr>
                  <a:t>Li</a:t>
                </a:r>
                <a:r>
                  <a:rPr lang="et-EE" sz="1100" b="1" i="0" u="none" strike="noStrike" baseline="30000">
                    <a:latin typeface="Times New Roman" pitchFamily="18" charset="0"/>
                    <a:cs typeface="Times New Roman" pitchFamily="18" charset="0"/>
                  </a:rPr>
                  <a:t>+</a:t>
                </a:r>
                <a:r>
                  <a:rPr lang="et-EE" sz="1100" b="1" i="0" u="none" strike="noStrike" baseline="0">
                    <a:latin typeface="Times New Roman" pitchFamily="18" charset="0"/>
                    <a:cs typeface="Times New Roman" pitchFamily="18" charset="0"/>
                  </a:rPr>
                  <a:t>-ioonide </a:t>
                </a:r>
                <a:r>
                  <a:rPr lang="et-EE" sz="1100">
                    <a:latin typeface="Times New Roman" pitchFamily="18" charset="0"/>
                    <a:cs typeface="Times New Roman" pitchFamily="18" charset="0"/>
                  </a:rPr>
                  <a:t>Osakaal</a:t>
                </a:r>
                <a:endParaRPr lang="en-US" sz="1100">
                  <a:latin typeface="Times New Roman" pitchFamily="18" charset="0"/>
                  <a:cs typeface="Times New Roman" pitchFamily="18" charset="0"/>
                </a:endParaRPr>
              </a:p>
            </c:rich>
          </c:tx>
          <c:layout>
            <c:manualLayout>
              <c:xMode val="edge"/>
              <c:yMode val="edge"/>
              <c:x val="2.1353237016223715E-3"/>
              <c:y val="0.24447219541988491"/>
            </c:manualLayout>
          </c:layout>
        </c:title>
        <c:numFmt formatCode="0.0%" sourceLinked="1"/>
        <c:tickLblPos val="nextTo"/>
        <c:txPr>
          <a:bodyPr/>
          <a:lstStyle/>
          <a:p>
            <a:pPr>
              <a:defRPr lang="en-US" sz="900"/>
            </a:pPr>
            <a:endParaRPr lang="et-EE"/>
          </a:p>
        </c:txPr>
        <c:crossAx val="114558080"/>
        <c:crosses val="autoZero"/>
        <c:crossBetween val="between"/>
      </c:valAx>
      <c:spPr>
        <a:ln>
          <a:noFill/>
        </a:ln>
      </c:spPr>
    </c:plotArea>
    <c:legend>
      <c:legendPos val="r"/>
      <c:layout>
        <c:manualLayout>
          <c:xMode val="edge"/>
          <c:yMode val="edge"/>
          <c:x val="0.62302575032249596"/>
          <c:y val="2.4027802744322611E-2"/>
          <c:w val="0.3320992327882093"/>
          <c:h val="0.20908648369241051"/>
        </c:manualLayout>
      </c:layout>
      <c:txPr>
        <a:bodyPr/>
        <a:lstStyle/>
        <a:p>
          <a:pPr>
            <a:defRPr lang="en-US" sz="1000"/>
          </a:pPr>
          <a:endParaRPr lang="et-EE"/>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3369513140315406"/>
          <c:y val="2.7690569621406442E-2"/>
          <c:w val="0.84995443710782481"/>
          <c:h val="0.81128633772812098"/>
        </c:manualLayout>
      </c:layout>
      <c:barChart>
        <c:barDir val="col"/>
        <c:grouping val="clustered"/>
        <c:ser>
          <c:idx val="0"/>
          <c:order val="0"/>
          <c:tx>
            <c:strRef>
              <c:f>Sheet1!$C$79</c:f>
              <c:strCache>
                <c:ptCount val="1"/>
                <c:pt idx="0">
                  <c:v>Li - P kauguseni 4,5 Å </c:v>
                </c:pt>
              </c:strCache>
            </c:strRef>
          </c:tx>
          <c:spPr>
            <a:solidFill>
              <a:srgbClr val="FF0000"/>
            </a:solidFill>
          </c:spPr>
          <c:dLbls>
            <c:txPr>
              <a:bodyPr/>
              <a:lstStyle/>
              <a:p>
                <a:pPr>
                  <a:defRPr lang="en-US" sz="900"/>
                </a:pPr>
                <a:endParaRPr lang="et-EE"/>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Sheet1!$C$80:$C$85</c:f>
              <c:numCache>
                <c:formatCode>General</c:formatCode>
                <c:ptCount val="6"/>
                <c:pt idx="0">
                  <c:v>0.72000000000000064</c:v>
                </c:pt>
                <c:pt idx="1">
                  <c:v>0.75000000000000644</c:v>
                </c:pt>
                <c:pt idx="2">
                  <c:v>0.48000000000000032</c:v>
                </c:pt>
                <c:pt idx="3">
                  <c:v>0.32000000000000356</c:v>
                </c:pt>
                <c:pt idx="4">
                  <c:v>0.42000000000000032</c:v>
                </c:pt>
                <c:pt idx="5">
                  <c:v>0.43000000000000038</c:v>
                </c:pt>
              </c:numCache>
            </c:numRef>
          </c:val>
        </c:ser>
        <c:ser>
          <c:idx val="1"/>
          <c:order val="1"/>
          <c:tx>
            <c:strRef>
              <c:f>Sheet1!$E$79</c:f>
              <c:strCache>
                <c:ptCount val="1"/>
                <c:pt idx="0">
                  <c:v>Li - O kauguseni 3,0 Å</c:v>
                </c:pt>
              </c:strCache>
            </c:strRef>
          </c:tx>
          <c:spPr>
            <a:solidFill>
              <a:schemeClr val="tx1">
                <a:lumMod val="85000"/>
                <a:lumOff val="15000"/>
              </a:schemeClr>
            </a:solidFill>
          </c:spPr>
          <c:dLbls>
            <c:txPr>
              <a:bodyPr/>
              <a:lstStyle/>
              <a:p>
                <a:pPr>
                  <a:defRPr lang="en-US" sz="900"/>
                </a:pPr>
                <a:endParaRPr lang="et-EE"/>
              </a:p>
            </c:txPr>
            <c:dLblPos val="outEnd"/>
            <c:showVal val="1"/>
          </c:dLbls>
          <c:cat>
            <c:numRef>
              <c:f>Sheet1!$B$3:$B$8</c:f>
              <c:numCache>
                <c:formatCode>General</c:formatCode>
                <c:ptCount val="6"/>
                <c:pt idx="0">
                  <c:v>4</c:v>
                </c:pt>
                <c:pt idx="1">
                  <c:v>6</c:v>
                </c:pt>
                <c:pt idx="2">
                  <c:v>8</c:v>
                </c:pt>
                <c:pt idx="3">
                  <c:v>10</c:v>
                </c:pt>
                <c:pt idx="4">
                  <c:v>12</c:v>
                </c:pt>
                <c:pt idx="5">
                  <c:v>15</c:v>
                </c:pt>
              </c:numCache>
            </c:numRef>
          </c:cat>
          <c:val>
            <c:numRef>
              <c:f>Sheet1!$E$80:$E$85</c:f>
              <c:numCache>
                <c:formatCode>General</c:formatCode>
                <c:ptCount val="6"/>
                <c:pt idx="0" formatCode="0.00">
                  <c:v>5</c:v>
                </c:pt>
                <c:pt idx="1">
                  <c:v>5.22</c:v>
                </c:pt>
                <c:pt idx="2">
                  <c:v>5.89</c:v>
                </c:pt>
                <c:pt idx="3">
                  <c:v>6.23</c:v>
                </c:pt>
                <c:pt idx="4">
                  <c:v>5.8599999999999985</c:v>
                </c:pt>
                <c:pt idx="5">
                  <c:v>5.91</c:v>
                </c:pt>
              </c:numCache>
            </c:numRef>
          </c:val>
        </c:ser>
        <c:dLbls>
          <c:showVal val="1"/>
        </c:dLbls>
        <c:axId val="114831744"/>
        <c:axId val="114833664"/>
      </c:barChart>
      <c:catAx>
        <c:axId val="114831744"/>
        <c:scaling>
          <c:orientation val="minMax"/>
        </c:scaling>
        <c:axPos val="b"/>
        <c:title>
          <c:tx>
            <c:rich>
              <a:bodyPr/>
              <a:lstStyle/>
              <a:p>
                <a:pPr>
                  <a:defRPr lang="en-US"/>
                </a:pPr>
                <a:r>
                  <a:rPr lang="et-EE" sz="1000" b="1" i="0" baseline="0">
                    <a:latin typeface="Times New Roman" pitchFamily="18" charset="0"/>
                    <a:cs typeface="Times New Roman" pitchFamily="18" charset="0"/>
                  </a:rPr>
                  <a:t>Kõrvalahelate pikkus</a:t>
                </a:r>
                <a:endParaRPr lang="en-US" sz="1000" b="1" i="0" baseline="0">
                  <a:latin typeface="Times New Roman" pitchFamily="18" charset="0"/>
                  <a:cs typeface="Times New Roman" pitchFamily="18" charset="0"/>
                </a:endParaRPr>
              </a:p>
            </c:rich>
          </c:tx>
        </c:title>
        <c:numFmt formatCode="General" sourceLinked="1"/>
        <c:tickLblPos val="low"/>
        <c:txPr>
          <a:bodyPr/>
          <a:lstStyle/>
          <a:p>
            <a:pPr>
              <a:defRPr lang="en-US"/>
            </a:pPr>
            <a:endParaRPr lang="et-EE"/>
          </a:p>
        </c:txPr>
        <c:crossAx val="114833664"/>
        <c:crosses val="autoZero"/>
        <c:auto val="1"/>
        <c:lblAlgn val="ctr"/>
        <c:lblOffset val="100"/>
      </c:catAx>
      <c:valAx>
        <c:axId val="114833664"/>
        <c:scaling>
          <c:orientation val="minMax"/>
        </c:scaling>
        <c:axPos val="l"/>
        <c:title>
          <c:tx>
            <c:rich>
              <a:bodyPr rot="-5400000" vert="horz"/>
              <a:lstStyle/>
              <a:p>
                <a:pPr>
                  <a:defRPr lang="en-US"/>
                </a:pPr>
                <a:r>
                  <a:rPr lang="et-EE" sz="1100">
                    <a:latin typeface="Times New Roman" pitchFamily="18" charset="0"/>
                    <a:cs typeface="Times New Roman" pitchFamily="18" charset="0"/>
                  </a:rPr>
                  <a:t>Koordinatsiooniarv</a:t>
                </a:r>
                <a:endParaRPr lang="en-US" sz="1100">
                  <a:latin typeface="Times New Roman" pitchFamily="18" charset="0"/>
                  <a:cs typeface="Times New Roman" pitchFamily="18" charset="0"/>
                </a:endParaRPr>
              </a:p>
            </c:rich>
          </c:tx>
        </c:title>
        <c:numFmt formatCode="General" sourceLinked="0"/>
        <c:tickLblPos val="nextTo"/>
        <c:txPr>
          <a:bodyPr/>
          <a:lstStyle/>
          <a:p>
            <a:pPr>
              <a:defRPr lang="en-US"/>
            </a:pPr>
            <a:endParaRPr lang="et-EE"/>
          </a:p>
        </c:txPr>
        <c:crossAx val="114831744"/>
        <c:crosses val="autoZero"/>
        <c:crossBetween val="between"/>
      </c:valAx>
    </c:plotArea>
    <c:legend>
      <c:legendPos val="r"/>
      <c:layout>
        <c:manualLayout>
          <c:xMode val="edge"/>
          <c:yMode val="edge"/>
          <c:x val="0.15588086523930253"/>
          <c:y val="2.1176843849582995E-2"/>
          <c:w val="0.30598216726711036"/>
          <c:h val="0.11474081992141059"/>
        </c:manualLayout>
      </c:layout>
      <c:txPr>
        <a:bodyPr/>
        <a:lstStyle/>
        <a:p>
          <a:pPr>
            <a:defRPr lang="en-US" sz="1000"/>
          </a:pPr>
          <a:endParaRPr lang="et-EE"/>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plotArea>
      <c:layout>
        <c:manualLayout>
          <c:layoutTarget val="inner"/>
          <c:xMode val="edge"/>
          <c:yMode val="edge"/>
          <c:x val="0.16156145764699029"/>
          <c:y val="5.4910553060662816E-2"/>
          <c:w val="0.70472757207888537"/>
          <c:h val="0.7759038649232407"/>
        </c:manualLayout>
      </c:layout>
      <c:barChart>
        <c:barDir val="col"/>
        <c:grouping val="clustered"/>
        <c:ser>
          <c:idx val="0"/>
          <c:order val="0"/>
          <c:tx>
            <c:strRef>
              <c:f>Sheet1!$J$2</c:f>
              <c:strCache>
                <c:ptCount val="1"/>
                <c:pt idx="0">
                  <c:v>Li+ </c:v>
                </c:pt>
              </c:strCache>
            </c:strRef>
          </c:tx>
          <c:spPr>
            <a:solidFill>
              <a:srgbClr val="0070C0"/>
            </a:solidFill>
          </c:spPr>
          <c:dLbls>
            <c:delete val="1"/>
          </c:dLbls>
          <c:cat>
            <c:strRef>
              <c:f>Sheet1!$B$3:$B$9</c:f>
              <c:strCache>
                <c:ptCount val="7"/>
                <c:pt idx="0">
                  <c:v>4</c:v>
                </c:pt>
                <c:pt idx="1">
                  <c:v>6</c:v>
                </c:pt>
                <c:pt idx="2">
                  <c:v>8</c:v>
                </c:pt>
                <c:pt idx="3">
                  <c:v>10</c:v>
                </c:pt>
                <c:pt idx="4">
                  <c:v>12</c:v>
                </c:pt>
                <c:pt idx="5">
                  <c:v>15</c:v>
                </c:pt>
                <c:pt idx="6">
                  <c:v>PEO</c:v>
                </c:pt>
              </c:strCache>
            </c:strRef>
          </c:cat>
          <c:val>
            <c:numRef>
              <c:f>Sheet1!$J$3:$J$8</c:f>
              <c:numCache>
                <c:formatCode>0.00E+00</c:formatCode>
                <c:ptCount val="6"/>
                <c:pt idx="0">
                  <c:v>8.40000000000005E-14</c:v>
                </c:pt>
                <c:pt idx="1">
                  <c:v>9.5000000000000542E-14</c:v>
                </c:pt>
                <c:pt idx="2">
                  <c:v>6.8000000000000354E-14</c:v>
                </c:pt>
                <c:pt idx="3">
                  <c:v>1.200000000000006E-13</c:v>
                </c:pt>
                <c:pt idx="4">
                  <c:v>1.1000000000000062E-13</c:v>
                </c:pt>
                <c:pt idx="5">
                  <c:v>1.5000000000000072E-13</c:v>
                </c:pt>
              </c:numCache>
            </c:numRef>
          </c:val>
        </c:ser>
        <c:ser>
          <c:idx val="1"/>
          <c:order val="1"/>
          <c:tx>
            <c:strRef>
              <c:f>Sheet1!$K$2</c:f>
              <c:strCache>
                <c:ptCount val="1"/>
                <c:pt idx="0">
                  <c:v>P-</c:v>
                </c:pt>
              </c:strCache>
            </c:strRef>
          </c:tx>
          <c:spPr>
            <a:solidFill>
              <a:srgbClr val="FF0000"/>
            </a:solidFill>
          </c:spPr>
          <c:dLbls>
            <c:delete val="1"/>
          </c:dLbls>
          <c:cat>
            <c:strRef>
              <c:f>Sheet1!$B$3:$B$9</c:f>
              <c:strCache>
                <c:ptCount val="7"/>
                <c:pt idx="0">
                  <c:v>4</c:v>
                </c:pt>
                <c:pt idx="1">
                  <c:v>6</c:v>
                </c:pt>
                <c:pt idx="2">
                  <c:v>8</c:v>
                </c:pt>
                <c:pt idx="3">
                  <c:v>10</c:v>
                </c:pt>
                <c:pt idx="4">
                  <c:v>12</c:v>
                </c:pt>
                <c:pt idx="5">
                  <c:v>15</c:v>
                </c:pt>
                <c:pt idx="6">
                  <c:v>PEO</c:v>
                </c:pt>
              </c:strCache>
            </c:strRef>
          </c:cat>
          <c:val>
            <c:numRef>
              <c:f>Sheet1!$K$3:$K$8</c:f>
              <c:numCache>
                <c:formatCode>0.00E+00</c:formatCode>
                <c:ptCount val="6"/>
                <c:pt idx="0">
                  <c:v>1.200000000000006E-13</c:v>
                </c:pt>
                <c:pt idx="1">
                  <c:v>8.3000000000000517E-14</c:v>
                </c:pt>
                <c:pt idx="2">
                  <c:v>7.5000000000000412E-14</c:v>
                </c:pt>
                <c:pt idx="3">
                  <c:v>2.2000000000000123E-13</c:v>
                </c:pt>
                <c:pt idx="4">
                  <c:v>2.6000000000000142E-13</c:v>
                </c:pt>
                <c:pt idx="5">
                  <c:v>1.1000000000000062E-13</c:v>
                </c:pt>
              </c:numCache>
            </c:numRef>
          </c:val>
        </c:ser>
        <c:ser>
          <c:idx val="2"/>
          <c:order val="2"/>
          <c:tx>
            <c:strRef>
              <c:f>Sheet1!$L$2</c:f>
              <c:strCache>
                <c:ptCount val="1"/>
                <c:pt idx="0">
                  <c:v>OPEO</c:v>
                </c:pt>
              </c:strCache>
            </c:strRef>
          </c:tx>
          <c:spPr>
            <a:solidFill>
              <a:schemeClr val="tx1">
                <a:lumMod val="65000"/>
                <a:lumOff val="35000"/>
              </a:schemeClr>
            </a:solidFill>
          </c:spPr>
          <c:dLbls>
            <c:delete val="1"/>
          </c:dLbls>
          <c:cat>
            <c:strRef>
              <c:f>Sheet1!$B$3:$B$9</c:f>
              <c:strCache>
                <c:ptCount val="7"/>
                <c:pt idx="0">
                  <c:v>4</c:v>
                </c:pt>
                <c:pt idx="1">
                  <c:v>6</c:v>
                </c:pt>
                <c:pt idx="2">
                  <c:v>8</c:v>
                </c:pt>
                <c:pt idx="3">
                  <c:v>10</c:v>
                </c:pt>
                <c:pt idx="4">
                  <c:v>12</c:v>
                </c:pt>
                <c:pt idx="5">
                  <c:v>15</c:v>
                </c:pt>
                <c:pt idx="6">
                  <c:v>PEO</c:v>
                </c:pt>
              </c:strCache>
            </c:strRef>
          </c:cat>
          <c:val>
            <c:numRef>
              <c:f>Sheet1!$L$3:$L$8</c:f>
              <c:numCache>
                <c:formatCode>0.00E+00</c:formatCode>
                <c:ptCount val="6"/>
                <c:pt idx="0">
                  <c:v>2.1000000000000105E-13</c:v>
                </c:pt>
                <c:pt idx="1">
                  <c:v>2.1000000000000105E-13</c:v>
                </c:pt>
                <c:pt idx="2">
                  <c:v>2.0000000000000099E-13</c:v>
                </c:pt>
                <c:pt idx="3">
                  <c:v>5.2000000000000263E-13</c:v>
                </c:pt>
                <c:pt idx="4">
                  <c:v>3.3000000000000157E-13</c:v>
                </c:pt>
                <c:pt idx="5">
                  <c:v>2.400000000000012E-13</c:v>
                </c:pt>
              </c:numCache>
            </c:numRef>
          </c:val>
        </c:ser>
        <c:dLbls>
          <c:showVal val="1"/>
        </c:dLbls>
        <c:axId val="70266240"/>
        <c:axId val="78906880"/>
      </c:barChart>
      <c:catAx>
        <c:axId val="70266240"/>
        <c:scaling>
          <c:orientation val="minMax"/>
        </c:scaling>
        <c:axPos val="b"/>
        <c:title>
          <c:tx>
            <c:rich>
              <a:bodyPr/>
              <a:lstStyle/>
              <a:p>
                <a:pPr>
                  <a:defRPr lang="en-US">
                    <a:latin typeface="Times New Roman" pitchFamily="18" charset="0"/>
                    <a:cs typeface="Times New Roman" pitchFamily="18" charset="0"/>
                  </a:defRPr>
                </a:pPr>
                <a:r>
                  <a:rPr lang="et-EE">
                    <a:latin typeface="Times New Roman" pitchFamily="18" charset="0"/>
                    <a:cs typeface="Times New Roman" pitchFamily="18" charset="0"/>
                  </a:rPr>
                  <a:t>Kõrvalahelate pikkus</a:t>
                </a:r>
                <a:endParaRPr lang="en-US">
                  <a:latin typeface="Times New Roman" pitchFamily="18" charset="0"/>
                  <a:cs typeface="Times New Roman" pitchFamily="18" charset="0"/>
                </a:endParaRPr>
              </a:p>
            </c:rich>
          </c:tx>
        </c:title>
        <c:tickLblPos val="nextTo"/>
        <c:txPr>
          <a:bodyPr/>
          <a:lstStyle/>
          <a:p>
            <a:pPr>
              <a:defRPr lang="en-US">
                <a:latin typeface="Times New Roman" pitchFamily="18" charset="0"/>
                <a:cs typeface="Times New Roman" pitchFamily="18" charset="0"/>
              </a:defRPr>
            </a:pPr>
            <a:endParaRPr lang="et-EE"/>
          </a:p>
        </c:txPr>
        <c:crossAx val="78906880"/>
        <c:crosses val="autoZero"/>
        <c:auto val="1"/>
        <c:lblAlgn val="ctr"/>
        <c:lblOffset val="100"/>
      </c:catAx>
      <c:valAx>
        <c:axId val="78906880"/>
        <c:scaling>
          <c:orientation val="minMax"/>
          <c:max val="6.0000000000000532E-13"/>
          <c:min val="0"/>
        </c:scaling>
        <c:axPos val="l"/>
        <c:majorGridlines/>
        <c:title>
          <c:tx>
            <c:rich>
              <a:bodyPr rot="-5400000" vert="horz"/>
              <a:lstStyle/>
              <a:p>
                <a:pPr>
                  <a:defRPr lang="en-US" sz="1100">
                    <a:latin typeface="Times New Roman" pitchFamily="18" charset="0"/>
                    <a:cs typeface="Times New Roman" pitchFamily="18" charset="0"/>
                  </a:defRPr>
                </a:pPr>
                <a:r>
                  <a:rPr lang="et-EE" sz="1100" b="1" i="0" baseline="0">
                    <a:latin typeface="Times New Roman" pitchFamily="18" charset="0"/>
                    <a:cs typeface="Times New Roman" pitchFamily="18" charset="0"/>
                  </a:rPr>
                  <a:t>Difusioonikoefitsient  D / m</a:t>
                </a:r>
                <a:r>
                  <a:rPr lang="et-EE" sz="1100" b="1" i="0" baseline="30000">
                    <a:latin typeface="Times New Roman" pitchFamily="18" charset="0"/>
                    <a:cs typeface="Times New Roman" pitchFamily="18" charset="0"/>
                  </a:rPr>
                  <a:t>2</a:t>
                </a:r>
                <a:r>
                  <a:rPr lang="et-EE" sz="1100" b="1" i="0" baseline="0">
                    <a:latin typeface="Times New Roman" pitchFamily="18" charset="0"/>
                    <a:cs typeface="Times New Roman" pitchFamily="18" charset="0"/>
                  </a:rPr>
                  <a:t> s</a:t>
                </a:r>
                <a:r>
                  <a:rPr lang="et-EE" sz="1100" b="1" i="0" baseline="30000">
                    <a:latin typeface="Times New Roman" pitchFamily="18" charset="0"/>
                    <a:cs typeface="Times New Roman" pitchFamily="18" charset="0"/>
                  </a:rPr>
                  <a:t>-1</a:t>
                </a:r>
                <a:endParaRPr lang="et-EE" sz="1100" b="1" i="0" baseline="0">
                  <a:latin typeface="Times New Roman" pitchFamily="18" charset="0"/>
                  <a:cs typeface="Times New Roman" pitchFamily="18" charset="0"/>
                </a:endParaRPr>
              </a:p>
            </c:rich>
          </c:tx>
        </c:title>
        <c:numFmt formatCode="0.0E+00" sourceLinked="0"/>
        <c:tickLblPos val="nextTo"/>
        <c:txPr>
          <a:bodyPr/>
          <a:lstStyle/>
          <a:p>
            <a:pPr>
              <a:defRPr lang="en-US">
                <a:latin typeface="Times New Roman" pitchFamily="18" charset="0"/>
                <a:cs typeface="Times New Roman" pitchFamily="18" charset="0"/>
              </a:defRPr>
            </a:pPr>
            <a:endParaRPr lang="et-EE"/>
          </a:p>
        </c:txPr>
        <c:crossAx val="70266240"/>
        <c:crosses val="autoZero"/>
        <c:crossBetween val="between"/>
        <c:majorUnit val="1.000000000000009E-13"/>
      </c:valAx>
    </c:plotArea>
    <c:plotVisOnly val="1"/>
  </c:chart>
  <c:spPr>
    <a:noFill/>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9.5440208487590467E-2"/>
          <c:y val="8.5108351840635324E-2"/>
          <c:w val="0.67758833362346182"/>
          <c:h val="0.74413442158928322"/>
        </c:manualLayout>
      </c:layout>
      <c:barChart>
        <c:barDir val="col"/>
        <c:grouping val="stacked"/>
        <c:ser>
          <c:idx val="0"/>
          <c:order val="0"/>
          <c:tx>
            <c:strRef>
              <c:f>Sheet1!$R$6</c:f>
              <c:strCache>
                <c:ptCount val="1"/>
                <c:pt idx="0">
                  <c:v>O-de hetkeks lahkumine ja liitumine</c:v>
                </c:pt>
              </c:strCache>
            </c:strRef>
          </c:tx>
          <c:spPr>
            <a:solidFill>
              <a:schemeClr val="tx1">
                <a:lumMod val="85000"/>
                <a:lumOff val="15000"/>
              </a:schemeClr>
            </a:solidFill>
          </c:spPr>
          <c:dLbls>
            <c:txPr>
              <a:bodyPr/>
              <a:lstStyle/>
              <a:p>
                <a:pPr>
                  <a:defRPr lang="en-US">
                    <a:solidFill>
                      <a:schemeClr val="bg1"/>
                    </a:solidFill>
                  </a:defRPr>
                </a:pPr>
                <a:endParaRPr lang="et-EE"/>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Sheet1!$R$8:$R$13</c:f>
              <c:numCache>
                <c:formatCode>General</c:formatCode>
                <c:ptCount val="6"/>
                <c:pt idx="0">
                  <c:v>0.12000000000000002</c:v>
                </c:pt>
                <c:pt idx="1">
                  <c:v>4.0000000000000022E-2</c:v>
                </c:pt>
                <c:pt idx="2">
                  <c:v>7.0000000000000021E-2</c:v>
                </c:pt>
                <c:pt idx="3">
                  <c:v>0.15000000000000024</c:v>
                </c:pt>
                <c:pt idx="4">
                  <c:v>0.1</c:v>
                </c:pt>
                <c:pt idx="5">
                  <c:v>0.1</c:v>
                </c:pt>
              </c:numCache>
            </c:numRef>
          </c:val>
        </c:ser>
        <c:ser>
          <c:idx val="1"/>
          <c:order val="1"/>
          <c:tx>
            <c:strRef>
              <c:f>Sheet1!$Q$6</c:f>
              <c:strCache>
                <c:ptCount val="1"/>
                <c:pt idx="0">
                  <c:v>O-de vahetus</c:v>
                </c:pt>
              </c:strCache>
            </c:strRef>
          </c:tx>
          <c:spPr>
            <a:solidFill>
              <a:srgbClr val="FF0000"/>
            </a:solidFill>
          </c:spPr>
          <c:dLbls>
            <c:dLbl>
              <c:idx val="2"/>
              <c:delete val="1"/>
            </c:dLbl>
            <c:txPr>
              <a:bodyPr/>
              <a:lstStyle/>
              <a:p>
                <a:pPr>
                  <a:defRPr lang="en-US">
                    <a:solidFill>
                      <a:schemeClr val="bg1"/>
                    </a:solidFill>
                  </a:defRPr>
                </a:pPr>
                <a:endParaRPr lang="et-EE"/>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Sheet1!$Q$8:$Q$13</c:f>
              <c:numCache>
                <c:formatCode>General</c:formatCode>
                <c:ptCount val="6"/>
                <c:pt idx="0">
                  <c:v>2.0000000000000011E-2</c:v>
                </c:pt>
                <c:pt idx="1">
                  <c:v>6.0000000000000032E-2</c:v>
                </c:pt>
                <c:pt idx="2">
                  <c:v>0</c:v>
                </c:pt>
                <c:pt idx="3">
                  <c:v>2.0000000000000011E-2</c:v>
                </c:pt>
                <c:pt idx="4">
                  <c:v>0.05</c:v>
                </c:pt>
                <c:pt idx="5">
                  <c:v>8.0000000000000043E-2</c:v>
                </c:pt>
              </c:numCache>
            </c:numRef>
          </c:val>
        </c:ser>
        <c:ser>
          <c:idx val="2"/>
          <c:order val="2"/>
          <c:tx>
            <c:strRef>
              <c:f>Sheet1!$P$6</c:f>
              <c:strCache>
                <c:ptCount val="1"/>
                <c:pt idx="0">
                  <c:v>O liitumine</c:v>
                </c:pt>
              </c:strCache>
            </c:strRef>
          </c:tx>
          <c:spPr>
            <a:solidFill>
              <a:srgbClr val="03D70D"/>
            </a:solidFill>
          </c:spPr>
          <c:dLbls>
            <c:txPr>
              <a:bodyPr/>
              <a:lstStyle/>
              <a:p>
                <a:pPr>
                  <a:defRPr lang="en-US">
                    <a:solidFill>
                      <a:schemeClr val="bg1"/>
                    </a:solidFill>
                  </a:defRPr>
                </a:pPr>
                <a:endParaRPr lang="et-EE"/>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Sheet1!$P$8:$P$13</c:f>
              <c:numCache>
                <c:formatCode>General</c:formatCode>
                <c:ptCount val="6"/>
                <c:pt idx="0">
                  <c:v>4.0000000000000022E-2</c:v>
                </c:pt>
                <c:pt idx="1">
                  <c:v>4.0000000000000022E-2</c:v>
                </c:pt>
                <c:pt idx="2">
                  <c:v>2.0000000000000011E-2</c:v>
                </c:pt>
                <c:pt idx="3">
                  <c:v>7.0000000000000021E-2</c:v>
                </c:pt>
                <c:pt idx="4">
                  <c:v>8.0000000000000043E-2</c:v>
                </c:pt>
                <c:pt idx="5">
                  <c:v>0.05</c:v>
                </c:pt>
              </c:numCache>
            </c:numRef>
          </c:val>
        </c:ser>
        <c:ser>
          <c:idx val="3"/>
          <c:order val="3"/>
          <c:tx>
            <c:strRef>
              <c:f>Sheet1!$O$6</c:f>
              <c:strCache>
                <c:ptCount val="1"/>
                <c:pt idx="0">
                  <c:v>O lahkumine</c:v>
                </c:pt>
              </c:strCache>
            </c:strRef>
          </c:tx>
          <c:spPr>
            <a:solidFill>
              <a:srgbClr val="0033CC"/>
            </a:solidFill>
          </c:spPr>
          <c:dLbls>
            <c:dLbl>
              <c:idx val="1"/>
              <c:delete val="1"/>
            </c:dLbl>
            <c:txPr>
              <a:bodyPr/>
              <a:lstStyle/>
              <a:p>
                <a:pPr>
                  <a:defRPr lang="en-US">
                    <a:solidFill>
                      <a:schemeClr val="bg1"/>
                    </a:solidFill>
                  </a:defRPr>
                </a:pPr>
                <a:endParaRPr lang="et-EE"/>
              </a:p>
            </c:txPr>
            <c:dLblPos val="ctr"/>
            <c:showVal val="1"/>
          </c:dLbls>
          <c:cat>
            <c:numRef>
              <c:f>Sheet1!$B$3:$B$8</c:f>
              <c:numCache>
                <c:formatCode>General</c:formatCode>
                <c:ptCount val="6"/>
                <c:pt idx="0">
                  <c:v>4</c:v>
                </c:pt>
                <c:pt idx="1">
                  <c:v>6</c:v>
                </c:pt>
                <c:pt idx="2">
                  <c:v>8</c:v>
                </c:pt>
                <c:pt idx="3">
                  <c:v>10</c:v>
                </c:pt>
                <c:pt idx="4">
                  <c:v>12</c:v>
                </c:pt>
                <c:pt idx="5">
                  <c:v>15</c:v>
                </c:pt>
              </c:numCache>
            </c:numRef>
          </c:cat>
          <c:val>
            <c:numRef>
              <c:f>Sheet1!$O$8:$O$13</c:f>
              <c:numCache>
                <c:formatCode>0.00</c:formatCode>
                <c:ptCount val="6"/>
                <c:pt idx="0">
                  <c:v>6.0000000000000032E-2</c:v>
                </c:pt>
                <c:pt idx="1">
                  <c:v>0</c:v>
                </c:pt>
                <c:pt idx="2" formatCode="General">
                  <c:v>2.0000000000000011E-2</c:v>
                </c:pt>
                <c:pt idx="3" formatCode="General">
                  <c:v>2.0000000000000011E-2</c:v>
                </c:pt>
                <c:pt idx="4" formatCode="General">
                  <c:v>2.0000000000000011E-2</c:v>
                </c:pt>
                <c:pt idx="5" formatCode="General">
                  <c:v>2.0000000000000011E-2</c:v>
                </c:pt>
              </c:numCache>
            </c:numRef>
          </c:val>
        </c:ser>
        <c:dLbls>
          <c:showVal val="1"/>
        </c:dLbls>
        <c:overlap val="100"/>
        <c:axId val="114951680"/>
        <c:axId val="114953600"/>
      </c:barChart>
      <c:catAx>
        <c:axId val="114951680"/>
        <c:scaling>
          <c:orientation val="minMax"/>
        </c:scaling>
        <c:axPos val="b"/>
        <c:title>
          <c:tx>
            <c:rich>
              <a:bodyPr/>
              <a:lstStyle/>
              <a:p>
                <a:pPr>
                  <a:defRPr lang="en-US"/>
                </a:pPr>
                <a:r>
                  <a:rPr lang="et-EE">
                    <a:latin typeface="Times New Roman" pitchFamily="18" charset="0"/>
                    <a:cs typeface="Times New Roman" pitchFamily="18" charset="0"/>
                  </a:rPr>
                  <a:t>Kõrvalahelate pikkus</a:t>
                </a:r>
                <a:endParaRPr lang="en-US">
                  <a:latin typeface="Times New Roman" pitchFamily="18" charset="0"/>
                  <a:cs typeface="Times New Roman" pitchFamily="18" charset="0"/>
                </a:endParaRPr>
              </a:p>
            </c:rich>
          </c:tx>
          <c:layout>
            <c:manualLayout>
              <c:xMode val="edge"/>
              <c:yMode val="edge"/>
              <c:x val="0.32278363249148168"/>
              <c:y val="0.92888199616803135"/>
            </c:manualLayout>
          </c:layout>
        </c:title>
        <c:numFmt formatCode="General" sourceLinked="1"/>
        <c:tickLblPos val="nextTo"/>
        <c:txPr>
          <a:bodyPr/>
          <a:lstStyle/>
          <a:p>
            <a:pPr>
              <a:defRPr lang="et-EE"/>
            </a:pPr>
            <a:endParaRPr lang="et-EE"/>
          </a:p>
        </c:txPr>
        <c:crossAx val="114953600"/>
        <c:crosses val="autoZero"/>
        <c:auto val="1"/>
        <c:lblAlgn val="ctr"/>
        <c:lblOffset val="100"/>
      </c:catAx>
      <c:valAx>
        <c:axId val="114953600"/>
        <c:scaling>
          <c:orientation val="minMax"/>
        </c:scaling>
        <c:axPos val="l"/>
        <c:majorGridlines/>
        <c:title>
          <c:tx>
            <c:rich>
              <a:bodyPr rot="-5400000" vert="horz"/>
              <a:lstStyle/>
              <a:p>
                <a:pPr>
                  <a:defRPr lang="en-US"/>
                </a:pPr>
                <a:r>
                  <a:rPr lang="et-EE" sz="1050"/>
                  <a:t>Sündmuste arv Li-iooni kohta</a:t>
                </a:r>
                <a:endParaRPr lang="en-US" sz="1050"/>
              </a:p>
            </c:rich>
          </c:tx>
          <c:layout>
            <c:manualLayout>
              <c:xMode val="edge"/>
              <c:yMode val="edge"/>
              <c:x val="0"/>
              <c:y val="0.18663123595050005"/>
            </c:manualLayout>
          </c:layout>
        </c:title>
        <c:numFmt formatCode="General" sourceLinked="1"/>
        <c:tickLblPos val="nextTo"/>
        <c:txPr>
          <a:bodyPr/>
          <a:lstStyle/>
          <a:p>
            <a:pPr>
              <a:defRPr lang="et-EE"/>
            </a:pPr>
            <a:endParaRPr lang="et-EE"/>
          </a:p>
        </c:txPr>
        <c:crossAx val="114951680"/>
        <c:crosses val="autoZero"/>
        <c:crossBetween val="between"/>
      </c:valAx>
    </c:plotArea>
    <c:legend>
      <c:legendPos val="r"/>
      <c:layout>
        <c:manualLayout>
          <c:xMode val="edge"/>
          <c:yMode val="edge"/>
          <c:x val="0.778072546477792"/>
          <c:y val="0.15926303618617349"/>
          <c:w val="0.21981448335772705"/>
          <c:h val="0.40678027362299102"/>
        </c:manualLayout>
      </c:layout>
      <c:txPr>
        <a:bodyPr/>
        <a:lstStyle/>
        <a:p>
          <a:pPr>
            <a:defRPr lang="en-US"/>
          </a:pPr>
          <a:endParaRPr lang="et-EE"/>
        </a:p>
      </c:txPr>
    </c:legend>
    <c:plotVisOnly val="1"/>
    <c:dispBlanksAs val="gap"/>
  </c:chart>
  <c:spPr>
    <a:ln>
      <a:noFill/>
    </a:ln>
  </c:spPr>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0.87952</cdr:x>
      <cdr:y>0.08207</cdr:y>
    </cdr:from>
    <cdr:to>
      <cdr:x>0.96654</cdr:x>
      <cdr:y>0.3557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36888" y="232922"/>
          <a:ext cx="518145" cy="776630"/>
        </a:xfrm>
        <a:prstGeom xmlns:a="http://schemas.openxmlformats.org/drawingml/2006/main" prst="rect">
          <a:avLst/>
        </a:prstGeom>
      </cdr:spPr>
    </cdr:pic>
  </cdr:relSizeAnchor>
  <cdr:relSizeAnchor xmlns:cdr="http://schemas.openxmlformats.org/drawingml/2006/chartDrawing">
    <cdr:from>
      <cdr:x>0.88324</cdr:x>
      <cdr:y>0.17724</cdr:y>
    </cdr:from>
    <cdr:to>
      <cdr:x>0.94626</cdr:x>
      <cdr:y>0.2602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258994" y="503042"/>
          <a:ext cx="375286" cy="235463"/>
        </a:xfrm>
        <a:prstGeom xmlns:a="http://schemas.openxmlformats.org/drawingml/2006/main" prst="rect">
          <a:avLst/>
        </a:prstGeom>
      </cdr:spPr>
    </cdr:pic>
  </cdr:relSizeAnchor>
</c:userShape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48</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20</b:RefOrder>
  </b:Source>
  <b:Source>
    <b:Tag>AD</b:Tag>
    <b:SourceType>JournalArticle</b:SourceType>
    <b:Guid>{0F5AACAF-483B-4DF3-ACA6-4AF89E83849E}</b:Guid>
    <b:LCID>0</b:LCID>
    <b:Author>
      <b:Author>
        <b:NameList>
          <b:Person>
            <b:Last>Karo</b:Last>
            <b:First>Jaanus</b:First>
          </b:Person>
        </b:NameList>
      </b:Author>
    </b:Author>
    <b:Title>The Role of Chide-Chains in Polymer Electrolytes for Batteries and Fuel Cells</b:Title>
    <b:Year>Uppsala, Universitet, 2009</b:Year>
    <b:RefOrder>36</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23</b:RefOrder>
  </b:Source>
  <b:Source>
    <b:Tag>AG</b:Tag>
    <b:SourceType>JournalArticle</b:SourceType>
    <b:Guid>{396B2F6F-2600-4976-B990-408B6E459E1D}</b:Guid>
    <b:LCID>0</b:LCID>
    <b:Author>
      <b:Author>
        <b:NameList>
          <b:Person>
            <b:Last>Brandell</b:Last>
            <b:First>Daniel</b:First>
          </b:Person>
        </b:NameList>
      </b:Author>
    </b:Author>
    <b:Title>Understanding Ionic Conductivity in Crystalline Polymer Electrolytes</b:Title>
    <b:Year>Uppsala, Universitet, 2005</b:Year>
    <b:RefOrder>37</b:RefOrder>
  </b:Source>
  <b:Source>
    <b:Tag>a</b:Tag>
    <b:SourceType>Book</b:SourceType>
    <b:Guid>{7F11299F-856F-407A-92E7-D37DB48B10B4}</b:Guid>
    <b:LCID>0</b:LCID>
    <b:Title>http://www.webelements.com</b:Title>
    <b:RefOrder>46</b:RefOrder>
  </b:Source>
  <b:Source>
    <b:Tag>AE</b:Tag>
    <b:SourceType>Book</b:SourceType>
    <b:Guid>{1E77D666-3F80-4B73-A65E-2C3386502777}</b:Guid>
    <b:LCID>0</b:LCID>
    <b:Title>http://www.physic.ut.ee/materjalimaailm/Kirjed/Poluetuleen.htm</b:Title>
    <b:RefOrder>57</b:RefOrder>
  </b:Source>
  <b:Source>
    <b:Tag>htt</b:Tag>
    <b:SourceType>Book</b:SourceType>
    <b:Guid>{74695C71-A92E-499D-B616-77CC1123A631}</b:Guid>
    <b:LCID>0</b:LCID>
    <b:Title>http://msds.chem.ox.ac.uk/PO/poly(ethylene_oxide).html</b:Title>
    <b:RefOrder>58</b:RefOrder>
  </b:Source>
  <b:Source>
    <b:Tag>AF</b:Tag>
    <b:SourceType>Book</b:SourceType>
    <b:Guid>{D0E3B341-70D6-45E7-AF0D-69DE4A67CAFC}</b:Guid>
    <b:LCID>0</b:LCID>
    <b:Title>http://en.wikipedia.org/wiki/Polyethylene</b:Title>
    <b:RefOrder>31</b:RefOrder>
  </b:Source>
  <b:Source>
    <b:Tag>AC</b:Tag>
    <b:SourceType>Book</b:SourceType>
    <b:Guid>{86205D24-8AB9-43FA-B0BC-4EFECC5E2E63}</b:Guid>
    <b:LCID>0</b:LCID>
    <b:Title>http://en.wikipedia.org/wiki/Conformational_isomerism</b:Title>
    <b:RefOrder>51</b:RefOrder>
  </b:Source>
  <b:Source>
    <b:Tag>Sit10</b:Tag>
    <b:SourceType>JournalArticle</b:SourceType>
    <b:Guid>{26D26A08-16BE-4903-B19F-C2D485EBF676}</b:Guid>
    <b:LCID>0</b:LCID>
    <b:Author>
      <b:Author>
        <b:NameList>
          <b:Person>
            <b:Last>Siti Aminah</b:Last>
            <b:First>Mohd</b:First>
            <b:Middle>Noor bt</b:Middle>
          </b:Person>
          <b:Person>
            <b:Last>Azizan</b:Last>
            <b:First>Ahmad</b:First>
          </b:Person>
          <b:Person>
            <b:Last>Mohd. Yusri</b:Last>
            <b:First>Abd.</b:First>
            <b:Middle>Rahman bin</b:Middle>
          </b:Person>
          <b:Person>
            <b:Last>Ibrahim</b:Last>
            <b:First>Talib</b:First>
            <b:Middle>Abu Talib</b:Middle>
          </b:Person>
        </b:NameList>
      </b:Author>
    </b:Author>
    <b:Title>Solid polymeric electrolyte of poly(ethylene)oxide-50% epoxidized natural rubber-lithium triflate (PEO-ENR50-LiCF3SO3)</b:Title>
    <b:JournalName>Natural Science</b:JournalName>
    <b:Year>2010</b:Year>
    <b:Volume>190-196</b:Volume>
    <b:Issue>3</b:Issue>
    <b:Comments>doi:10.4236/ns.2010.23029</b:Comments>
    <b:RefOrder>13</b:RefOrder>
  </b:Source>
  <b:Source>
    <b:Tag>Kat01</b:Tag>
    <b:SourceType>JournalArticle</b:SourceType>
    <b:Guid>{A7A5A3A2-A109-4C78-9EC9-9642BDFC1664}</b:Guid>
    <b:LCID>0</b:LCID>
    <b:Author>
      <b:Author>
        <b:NameList>
          <b:Person>
            <b:Last>Kato</b:Last>
            <b:First>Yuki</b:First>
          </b:Person>
          <b:Person>
            <b:Last>Yokoyama</b:Last>
            <b:First>Shoichi</b:First>
          </b:Person>
          <b:Person>
            <b:Last>Ikuta</b:Last>
            <b:First>Hiromasa</b:First>
          </b:Person>
          <b:Person>
            <b:Last>Uchimoto</b:Last>
            <b:First>Yoshiharu</b:First>
          </b:Person>
          <b:Person>
            <b:Last>Wakihara</b:Last>
            <b:First>Masataka</b:First>
          </b:Person>
        </b:NameList>
      </b:Author>
    </b:Author>
    <b:Title>Thermally stable polymer electrolyte plasticized with PEG-borate ester for lithium secondary battery</b:Title>
    <b:JournalName>Electrochemistry Communications</b:JournalName>
    <b:Year>2001</b:Year>
    <b:Volume>128-130</b:Volume>
    <b:Issue>3</b:Issue>
    <b:RefOrder>19</b:RefOrder>
  </b:Source>
  <b:Source>
    <b:Tag>Yan06</b:Tag>
    <b:SourceType>JournalArticle</b:SourceType>
    <b:Guid>{0BAF1BF4-BC2E-4006-9B1D-3F04BC4C5BC2}</b:Guid>
    <b:LCID>0</b:LCID>
    <b:Author>
      <b:Author>
        <b:NameList>
          <b:Person>
            <b:Last>Yang</b:Last>
            <b:First>Chun-Mo</b:First>
          </b:Person>
          <b:Person>
            <b:Last>Kim</b:Last>
            <b:First>Hyung-Sun</b:First>
          </b:Person>
          <b:Person>
            <b:Last>Na</b:Last>
            <b:First>Byung-Ki</b:First>
          </b:Person>
          <b:Person>
            <b:Last>Kum</b:Last>
            <b:First>Kyong-Soo</b:First>
          </b:Person>
          <b:Person>
            <b:Last>Cho</b:Last>
            <b:First>Byung</b:First>
            <b:Middle>Won</b:Middle>
          </b:Person>
        </b:NameList>
      </b:Author>
    </b:Author>
    <b:Title>Gel-type polymer electrolytes with different types of ceramic fillers and lithium salts for lithium-ion polymer batteries</b:Title>
    <b:JournalName>Power Sources</b:JournalName>
    <b:Year>2006</b:Year>
    <b:Volume>574-580</b:Volume>
    <b:Issue>156</b:Issue>
    <b:RefOrder>21</b:RefOrder>
  </b:Source>
  <b:Source>
    <b:Tag>Cro00</b:Tag>
    <b:SourceType>JournalArticle</b:SourceType>
    <b:Guid>{94F754D6-A858-4D4B-800A-B28B62359DFF}</b:Guid>
    <b:LCID>0</b:LCID>
    <b:Author>
      <b:Author>
        <b:NameList>
          <b:Person>
            <b:Last>Croce</b:Last>
            <b:First>F.</b:First>
          </b:Person>
          <b:Person>
            <b:Last>Persi</b:Last>
            <b:First>L.</b:First>
          </b:Person>
          <b:Person>
            <b:Last>Ronci</b:Last>
            <b:First>F.</b:First>
          </b:Person>
          <b:Person>
            <b:Last>Scrosati</b:Last>
            <b:First>B.</b:First>
          </b:Person>
        </b:NameList>
      </b:Author>
    </b:Author>
    <b:Title>Nanocomposite polymer electrolytes and their impact on the lithium battery technology</b:Title>
    <b:JournalName>Solid State Ionics</b:JournalName>
    <b:Year>2000</b:Year>
    <b:Volume>47-52</b:Volume>
    <b:Issue>135</b:Issue>
    <b:RefOrder>22</b:RefOrder>
  </b:Source>
  <b:Source>
    <b:Tag>Rit05</b:Tag>
    <b:SourceType>JournalArticle</b:SourceType>
    <b:Guid>{13FCD8E8-2291-4C18-890A-0A3E4F72BDA6}</b:Guid>
    <b:LCID>0</b:LCID>
    <b:Author>
      <b:Author>
        <b:NameList>
          <b:Person>
            <b:Last>Ritchie</b:Last>
            <b:First>Andrew</b:First>
          </b:Person>
          <b:Person>
            <b:Last>Howard</b:Last>
            <b:First>Wilmont</b:First>
          </b:Person>
        </b:NameList>
      </b:Author>
    </b:Author>
    <b:Title>Recent developments and likely advances in lithium-ion batteries</b:Title>
    <b:Year>2005</b:Year>
    <b:Volume>809-812</b:Volume>
    <b:JournalName>Power Sources</b:JournalName>
    <b:Issue>162</b:Issue>
    <b:RefOrder>28</b:RefOrder>
  </b:Source>
  <b:Source>
    <b:Tag>Kar10</b:Tag>
    <b:SourceType>JournalArticle</b:SourceType>
    <b:Guid>{0112570E-C351-4512-A56F-BED115014A52}</b:Guid>
    <b:LCID>0</b:LCID>
    <b:Author>
      <b:Author>
        <b:NameList>
          <b:Person>
            <b:Last>Karo</b:Last>
            <b:First>Jaanus</b:First>
          </b:Person>
          <b:Person>
            <b:Last>Aabloo</b:Last>
            <b:First>Alvo</b:First>
          </b:Person>
          <b:Person>
            <b:Last>Thomas</b:Last>
            <b:First>John</b:First>
            <b:Middle>O.</b:Middle>
          </b:Person>
          <b:Person>
            <b:Last>Brandell</b:Last>
            <b:First>Daniel</b:First>
          </b:Person>
        </b:NameList>
      </b:Author>
    </b:Author>
    <b:Title>Molecular Dynamics Modeling of Proton Transport in Nafion and Hyflon Nanostructures</b:Title>
    <b:JournalName>J. Phus. Chem.</b:JournalName>
    <b:Year>2010</b:Year>
    <b:Volume>6056-6064</b:Volume>
    <b:Issue>B 114</b:Issue>
    <b:RefOrder>39</b:RefOrder>
  </b:Source>
  <b:Source>
    <b:Tag>Sri07</b:Tag>
    <b:SourceType>JournalArticle</b:SourceType>
    <b:Guid>{B4D18A8F-E96F-4FD3-851E-E9436E6E8759}</b:Guid>
    <b:LCID>0</b:LCID>
    <b:Author>
      <b:Author>
        <b:NameList>
          <b:Person>
            <b:Last>Srinivas</b:Last>
            <b:First>Goundla</b:First>
          </b:Person>
          <b:Person>
            <b:Last>Swope</b:Last>
            <b:First>William</b:First>
            <b:Middle>C.</b:Middle>
          </b:Person>
          <b:Person>
            <b:Last>Pitera</b:Last>
            <b:First>Jed</b:First>
            <b:Middle>W.</b:Middle>
          </b:Person>
        </b:NameList>
      </b:Author>
    </b:Author>
    <b:Title>Interfacial fluctuation of Block Copolymers: A Coarse-Grain Molecular Dynamics simulation Study</b:Title>
    <b:JournalName>J. Phys. Chem.</b:JournalName>
    <b:Year>2007</b:Year>
    <b:Volume>13734-13742</b:Volume>
    <b:Issue>B 111</b:Issue>
    <b:RefOrder>42</b:RefOrder>
  </b:Source>
  <b:Source>
    <b:Tag>Kar05</b:Tag>
    <b:SourceType>JournalArticle</b:SourceType>
    <b:Guid>{B2BE4E0A-862F-458E-B7F7-2D63CF6A2565}</b:Guid>
    <b:LCID>0</b:LCID>
    <b:Author>
      <b:Author>
        <b:NameList>
          <b:Person>
            <b:Last>Karo</b:Last>
            <b:First>J.</b:First>
          </b:Person>
          <b:Person>
            <b:Last>Aabloo</b:Last>
            <b:First>A.</b:First>
          </b:Person>
          <b:Person>
            <b:Last>Thomas</b:Last>
            <b:First>J.</b:First>
            <b:Middle>O.</b:Middle>
          </b:Person>
        </b:NameList>
      </b:Author>
    </b:Author>
    <b:Title>A molecular dynamics study of the effect of side-chains on mobility in a polymer host</b:Title>
    <b:JournalName>Solid State ionics</b:JournalName>
    <b:Year>2005</b:Year>
    <b:Volume>3041-3044</b:Volume>
    <b:Issue>176</b:Issue>
    <b:RefOrder>43</b:RefOrder>
  </b:Source>
  <b:Source>
    <b:Tag>Kar09</b:Tag>
    <b:SourceType>JournalArticle</b:SourceType>
    <b:Guid>{52A00302-6058-4630-9046-B5EBED4590B8}</b:Guid>
    <b:LCID>0</b:LCID>
    <b:Author>
      <b:Author>
        <b:NameList>
          <b:Person>
            <b:Last>Karo</b:Last>
            <b:First>Jaanus</b:First>
          </b:Person>
          <b:Person>
            <b:Last>Brandell</b:Last>
            <b:First>Daniel</b:First>
          </b:Person>
        </b:NameList>
      </b:Author>
    </b:Author>
    <b:Title>A Molecular Dynamics Study of the influence of side-chain length and spacing on lithium mobility in non-crystalline LiPF6·PEOx; x=10 and 30</b:Title>
    <b:JournalName>Solid State Ionics</b:JournalName>
    <b:Year>2009</b:Year>
    <b:Volume>1272-1284</b:Volume>
    <b:Issue>180</b:Issue>
    <b:RefOrder>44</b:RefOrder>
  </b:Source>
  <b:Source>
    <b:Tag>Fög09</b:Tag>
    <b:SourceType>JournalArticle</b:SourceType>
    <b:Guid>{2D0ADDDA-45EB-469D-8B65-77CAF64A016B}</b:Guid>
    <b:LCID>0</b:LCID>
    <b:Author>
      <b:Author>
        <b:NameList>
          <b:Person>
            <b:Last>Fögeling</b:Last>
            <b:First>J.</b:First>
          </b:Person>
          <b:Person>
            <b:Last>Kunze</b:Last>
            <b:First>M.</b:First>
          </b:Person>
          <b:Person>
            <b:Last>Schönhoff</b:Last>
            <b:First>M.</b:First>
          </b:Person>
          <b:Person>
            <b:Last>Stolwijk</b:Last>
            <b:First>N.</b:First>
            <b:Middle>A.</b:Middle>
          </b:Person>
        </b:NameList>
      </b:Author>
    </b:Author>
    <b:Title>Foreign-ion and self-ion diffusion in a crosslinked salt-in-polyether electrolyte</b:Title>
    <b:JournalName>Physical Chemistry Chemical Physics</b:JournalName>
    <b:Year>2009</b:Year>
    <b:Comments>doi:10.1039/b923894h</b:Comments>
    <b:RefOrder>54</b:RefOrder>
  </b:Source>
  <b:Source>
    <b:Tag>Aru93</b:Tag>
    <b:SourceType>JournalArticle</b:SourceType>
    <b:Guid>{A950834B-E113-484B-836D-B3BFB710449D}</b:Guid>
    <b:LCID>0</b:LCID>
    <b:Author>
      <b:Author>
        <b:NameList>
          <b:Person>
            <b:Last>Arumugam</b:Last>
            <b:First>S.</b:First>
          </b:Person>
          <b:Person>
            <b:Last>Shi</b:Last>
            <b:First>J.</b:First>
          </b:Person>
          <b:Person>
            <b:Last>Tunstall</b:Last>
            <b:First>D.</b:First>
            <b:Middle>P.</b:Middle>
          </b:Person>
          <b:Person>
            <b:Last>Vincent</b:Last>
            <b:First>C.</b:First>
            <b:Middle>A.</b:Middle>
          </b:Person>
        </b:NameList>
      </b:Author>
    </b:Author>
    <b:Title>Cation and anion diffusion coefficients in a solid polymer electrolyte measured by pulsed-field gradient nuclear magnetic resonance</b:Title>
    <b:JournalName>J. Phys. Condens Matter</b:JournalName>
    <b:Year>1993</b:Year>
    <b:Volume>153-160</b:Volume>
    <b:Issue>5</b:Issue>
    <b:RefOrder>56</b:RefOrder>
  </b:Source>
  <b:Source>
    <b:Tag>Kur09</b:Tag>
    <b:SourceType>Book</b:SourceType>
    <b:Guid>{D85CF0A7-3123-412C-87D4-600232968234}</b:Guid>
    <b:LCID>0</b:LCID>
    <b:Author>
      <b:Author>
        <b:NameList>
          <b:Person>
            <b:Last>Kurzweil</b:Last>
            <b:First>P.</b:First>
          </b:Person>
        </b:NameList>
      </b:Author>
    </b:Author>
    <b:Title>HISTORY | Secondary Batteries</b:Title>
    <b:Year>2009</b:Year>
    <b:Comments>doi:10.1016/B978-044452745-5.00004-6</b:Comments>
    <b:RefOrder>1</b:RefOrder>
  </b:Source>
  <b:Source>
    <b:Tag>Sin03</b:Tag>
    <b:SourceType>JournalArticle</b:SourceType>
    <b:Guid>{AB7D5DAB-5A3F-411E-830B-E2A0D1E64CCF}</b:Guid>
    <b:LCID>0</b:LCID>
    <b:Author>
      <b:Author>
        <b:NameList>
          <b:Person>
            <b:Last>Singh</b:Last>
            <b:First>T.H.</b:First>
            <b:Middle>Joykumar</b:Middle>
          </b:Person>
          <b:Person>
            <b:Last>Bhat</b:Last>
            <b:First>S.</b:First>
            <b:Middle>V.</b:Middle>
          </b:Person>
        </b:NameList>
      </b:Author>
    </b:Author>
    <b:Title>Morphology and conductivity studies of a new solid polymer electrolyte: (PEG)xLiClO4</b:Title>
    <b:JournalName>Bull. Master. Sci.</b:JournalName>
    <b:Year>2003</b:Year>
    <b:Volume>707-714</b:Volume>
    <b:Issue>26</b:Issue>
    <b:RefOrder>24</b:RefOrder>
  </b:Source>
  <b:Source>
    <b:Tag>Mah11</b:Tag>
    <b:SourceType>Book</b:SourceType>
    <b:Guid>{3D6F159E-7F2E-48A1-A0E7-3BD3230A0673}</b:Guid>
    <b:LCID>0</b:LCID>
    <b:Author>
      <b:Author>
        <b:NameList>
          <b:Person>
            <b:Last>Mahmoud</b:Last>
            <b:First>Heza</b:First>
            <b:Middle>Taha</b:Middle>
          </b:Person>
          <b:Person>
            <b:Last>Xu</b:Last>
            <b:First>Lishan</b:First>
          </b:Person>
        </b:NameList>
      </b:Author>
    </b:Author>
    <b:Title>A combined Li-ion &amp; lead-acid battery system for start-stop application: potential &amp; realization</b:Title>
    <b:Year>2011</b:Year>
    <b:RefOrder>4</b:RefOrder>
  </b:Source>
  <b:Source>
    <b:Tag>Ohn99</b:Tag>
    <b:SourceType>Book</b:SourceType>
    <b:Guid>{62AF82D5-9D9B-410A-BD78-669D857C3122}</b:Guid>
    <b:LCID>0</b:LCID>
    <b:Author>
      <b:Author>
        <b:NameList>
          <b:Person>
            <b:Last>Ohno</b:Last>
            <b:First>K.</b:First>
          </b:Person>
          <b:Person>
            <b:Last>Esfarjani</b:Last>
            <b:First>K.</b:First>
          </b:Person>
          <b:Person>
            <b:Last>Kawazoe</b:Last>
            <b:First>Y.</b:First>
          </b:Person>
        </b:NameList>
      </b:Author>
    </b:Author>
    <b:Title>Computational Materials Science</b:Title>
    <b:Year>1999</b:Year>
    <b:RefOrder>35</b:RefOrder>
  </b:Source>
  <b:Source>
    <b:Tag>Ask03</b:Tag>
    <b:SourceType>Book</b:SourceType>
    <b:Guid>{1625BDFE-B5F0-4017-A467-B0D9772AFA0E}</b:Guid>
    <b:LCID>0</b:LCID>
    <b:Author>
      <b:Author>
        <b:NameList>
          <b:Person>
            <b:Last>Askadskii</b:Last>
            <b:First>A.</b:First>
            <b:Middle>A.</b:Middle>
          </b:Person>
        </b:NameList>
      </b:Author>
    </b:Author>
    <b:Title>Computational Materials Science Of Polymers</b:Title>
    <b:Year>2003</b:Year>
    <b:RefOrder>59</b:RefOrder>
  </b:Source>
  <b:Source>
    <b:Tag>Aih</b:Tag>
    <b:SourceType>JournalArticle</b:SourceType>
    <b:Guid>{5E3473C6-69FF-4353-AD33-8861F5F8CCCA}</b:Guid>
    <b:LCID>0</b:LCID>
    <b:Author>
      <b:Author>
        <b:NameList>
          <b:Person>
            <b:Last>Aihara</b:Last>
            <b:First>Y.</b:First>
          </b:Person>
          <b:Person>
            <b:Last>Kuratomi</b:Last>
            <b:First>J.</b:First>
          </b:Person>
          <b:Person>
            <b:Last>Bando</b:Last>
            <b:First>T.</b:First>
          </b:Person>
          <b:Person>
            <b:Last>Iguchi</b:Last>
            <b:First>T.</b:First>
          </b:Person>
          <b:Person>
            <b:Last>Yoshida</b:Last>
            <b:First>H.</b:First>
          </b:Person>
          <b:Person>
            <b:Last>Ono</b:Last>
            <b:First>T.</b:First>
          </b:Person>
          <b:Person>
            <b:Last>Kuwana</b:Last>
            <b:First>K.</b:First>
          </b:Person>
        </b:NameList>
      </b:Author>
    </b:Author>
    <b:Title>Investigation on solvent-free solid polymer electrolytes for advanced lithium batteries and their performance</b:Title>
    <b:JournalName>Power Sources</b:JournalName>
    <b:Volume>96-104</b:Volume>
    <b:Issue>114</b:Issue>
    <b:Year>2003</b:Year>
    <b:RefOrder>5</b:RefOrder>
  </b:Source>
  <b:Source>
    <b:Tag>Bra11</b:Tag>
    <b:SourceType>JournalArticle</b:SourceType>
    <b:Guid>{735E8AD1-8BB1-4816-81BC-B1F21DCD2AB3}</b:Guid>
    <b:LCID>0</b:LCID>
    <b:Author>
      <b:Author>
        <b:NameList>
          <b:Person>
            <b:Last>Brandell</b:Last>
            <b:First>Daniel</b:First>
          </b:Person>
          <b:Person>
            <b:Last>Priimägi</b:Last>
            <b:First>Priit</b:First>
          </b:Person>
          <b:Person>
            <b:Last>Kasemägi</b:Last>
            <b:First>Heiki</b:First>
          </b:Person>
          <b:Person>
            <b:Last>Aabloo</b:Last>
            <b:First>Alvo</b:First>
          </b:Person>
        </b:NameList>
      </b:Author>
    </b:Author>
    <b:Title>Branched polyethylene/poly(ethylene oxide) as a host matrix for Li-ion battery alactrolytes: A molecular dynamics study</b:Title>
    <b:Year>2011</b:Year>
    <b:JournalName>Electrochimica Acta</b:JournalName>
    <b:Volume>228-236</b:Volume>
    <b:Issue>57</b:Issue>
    <b:RefOrder>55</b:RefOrder>
  </b:Source>
  <b:Source>
    <b:Tag>A</b:Tag>
    <b:SourceType>JournalArticle</b:SourceType>
    <b:Guid>{721B4D23-28DF-456B-B1EC-5D2849DCCE3B}</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Comments>doi:10.1088/0022-3727/41/22/223001</b:Comments>
    <b:RefOrder>2</b:RefOrder>
  </b:Source>
  <b:Source>
    <b:Tag>D</b:Tag>
    <b:SourceType>JournalArticle</b:SourceType>
    <b:Guid>{A2285CC5-1547-4BDA-9C08-614246FE139B}</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1-12</b:Volume>
    <b:Issue>30</b:Issue>
    <b:RefOrder>3</b:RefOrder>
  </b:Source>
  <b:Source>
    <b:Tag>M</b:Tag>
    <b:SourceType>JournalArticle</b:SourceType>
    <b:Guid>{7EDB9199-ECC9-4DD3-9509-A217CC5957F4}</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6</b:RefOrder>
  </b:Source>
  <b:Source>
    <b:Tag>U</b:Tag>
    <b:SourceType>JournalArticle</b:SourceType>
    <b:Guid>{6B3D6841-A78E-4051-BEAB-CE5384BE9131}</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7</b:RefOrder>
  </b:Source>
  <b:Source>
    <b:Tag>G</b:Tag>
    <b:SourceType>JournalArticle</b:SourceType>
    <b:Guid>{56FC460E-FB94-44DE-A145-A6E82379F640}</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8</b:RefOrder>
  </b:Source>
  <b:Source>
    <b:Tag>AI</b:Tag>
    <b:SourceType>JournalArticle</b:SourceType>
    <b:Guid>{6EF1BBD3-6D70-4305-A06F-8F1FF95F7717}</b:Guid>
    <b:LCID>0</b:LCID>
    <b:Author>
      <b:Author>
        <b:NameList>
          <b:Person>
            <b:Last>Askadskii</b:Last>
            <b:First>A.</b:First>
            <b:Middle>A.</b:Middle>
          </b:Person>
        </b:NameList>
      </b:Author>
    </b:Author>
    <b:Title>Computational Materials Science of Polymers</b:Title>
    <b:Year>Cambridge internationl sience publishing 2003</b:Year>
    <b:RefOrder>40</b:RefOrder>
  </b:Source>
  <b:Source>
    <b:Tag>Boi96</b:Tag>
    <b:SourceType>JournalArticle</b:SourceType>
    <b:Guid>{EF653213-599C-4AE1-AB4E-E8CF9077617E}</b:Guid>
    <b:LCID>0</b:LCID>
    <b:Author>
      <b:Author>
        <b:NameList>
          <b:Person>
            <b:Last>Boinske</b:Last>
            <b:First>P.</b:First>
            <b:Middle>T.</b:Middle>
          </b:Person>
          <b:Person>
            <b:Last>Curtiss</b:Last>
            <b:First>L.</b:First>
          </b:Person>
          <b:Person>
            <b:Last>Halley</b:Last>
            <b:First>J.</b:First>
            <b:Middle>W.</b:Middle>
          </b:Person>
          <b:Person>
            <b:Last>Lin</b:Last>
            <b:First>B.</b:First>
          </b:Person>
          <b:Person>
            <b:Last>Sutjinto</b:Last>
            <b:First>A.</b:First>
          </b:Person>
        </b:NameList>
      </b:Author>
    </b:Author>
    <b:Title>Lithium ion transport in a model of amorphous polyethylene oxide</b:Title>
    <b:JournalName>Computer-Aided Materials Design</b:JournalName>
    <b:Year>1996</b:Year>
    <b:Volume>385-402</b:Volume>
    <b:Issue>3</b:Issue>
    <b:RefOrder>27</b:RefOrder>
  </b:Source>
  <b:Source>
    <b:Tag>e</b:Tag>
    <b:SourceType>JournalArticle</b:SourceType>
    <b:Guid>{8B69A2F2-D1AD-4440-A2F5-6630CAA51051}</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49</b:RefOrder>
  </b:Source>
  <b:Source>
    <b:Tag>J</b:Tag>
    <b:SourceType>JournalArticle</b:SourceType>
    <b:Guid>{D751437B-1957-43A2-8560-F406E957EBCC}</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41</b:RefOrder>
  </b:Source>
  <b:Source>
    <b:Tag>K</b:Tag>
    <b:SourceType>JournalArticle</b:SourceType>
    <b:Guid>{28B6D5B1-7BEF-4B19-941D-5A00D81148FF}</b:Guid>
    <b:LCID>0</b:LCID>
    <b:Author>
      <b:Author>
        <b:NameList>
          <b:Person>
            <b:Last>Bruce</b:Last>
            <b:First>Peter</b:First>
            <b:Middle>G.</b:Middle>
          </b:Person>
        </b:NameList>
      </b:Author>
    </b:Author>
    <b:Title>Energy materials</b:Title>
    <b:JournalName>Solid State Sciences</b:JournalName>
    <b:Year>2005</b:Year>
    <b:Issue>7</b:Issue>
    <b:Volume>1456-1463</b:Volume>
    <b:RefOrder>18</b:RefOrder>
  </b:Source>
  <b:Source>
    <b:Tag>O</b:Tag>
    <b:SourceType>JournalArticle</b:SourceType>
    <b:Guid>{B7303685-E70F-499F-BD2A-F23757740C85}</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53</b:RefOrder>
  </b:Source>
  <b:Source>
    <b:Tag>P</b:Tag>
    <b:SourceType>JournalArticle</b:SourceType>
    <b:Guid>{DE171411-1781-45E1-8669-D8EDC1E01EC1}</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29</b:RefOrder>
  </b:Source>
  <b:Source>
    <b:Tag>T</b:Tag>
    <b:SourceType>JournalArticle</b:SourceType>
    <b:Guid>{C53223FB-26D7-4B09-9016-5AE8D2D10622}</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15</b:RefOrder>
  </b:Source>
  <b:Source>
    <b:Tag>Gad01</b:Tag>
    <b:SourceType>JournalArticle</b:SourceType>
    <b:Guid>{0E34D23A-E9A2-4517-BD9E-F31EF9D1E510}</b:Guid>
    <b:LCID>0</b:LCID>
    <b:Author>
      <b:Author>
        <b:NameList>
          <b:Person>
            <b:Last>Gadjourova</b:Last>
            <b:First>Z.</b:First>
          </b:Person>
          <b:Person>
            <b:Last>Andreev</b:Last>
            <b:First>Y.</b:First>
            <b:Middle>G.</b:Middle>
          </b:Person>
          <b:Person>
            <b:Last>Tunstall</b:Last>
            <b:First>D.</b:First>
            <b:Middle>P.</b:Middle>
          </b:Person>
          <b:Person>
            <b:Last>Bruce</b:Last>
            <b:First>P.</b:First>
            <b:Middle>G.</b:Middle>
          </b:Person>
        </b:NameList>
      </b:Author>
    </b:Author>
    <b:JournalName>Nature</b:JournalName>
    <b:Year>2001</b:Year>
    <b:Volume>520</b:Volume>
    <b:Issue>412</b:Issue>
    <b:RefOrder>11</b:RefOrder>
  </b:Source>
  <b:Source>
    <b:Tag>E</b:Tag>
    <b:SourceType>JournalArticle</b:SourceType>
    <b:Guid>{18B62D5B-8F29-4E7A-8FAE-3AED23D826F5}</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30</b:RefOrder>
  </b:Source>
  <b:Source>
    <b:Tag>N</b:Tag>
    <b:SourceType>JournalArticle</b:SourceType>
    <b:Guid>{45084360-D39B-4F24-A5BD-EE41EA5A025C}</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33</b:RefOrder>
  </b:Source>
  <b:Source>
    <b:Tag>b</b:Tag>
    <b:SourceType>JournalArticle</b:SourceType>
    <b:Guid>{A1CBD1B9-B4B2-4E1C-AF64-1E1013C8C2D9}</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38</b:RefOrder>
  </b:Source>
  <b:Source>
    <b:Tag>AJ</b:Tag>
    <b:SourceType>JournalArticle</b:SourceType>
    <b:Guid>{20614C17-A360-4B0F-973A-DB4EBC61AA6C}</b:Guid>
    <b:LCID>0</b:LCID>
    <b:Author>
      <b:Author>
        <b:NameList>
          <b:Person>
            <b:Last>Neyertz</b:Last>
            <b:First>S.</b:First>
          </b:Person>
        </b:NameList>
      </b:Author>
    </b:Author>
    <b:Title>Computer Simulation of PEO-Based Polymer Electrolytes</b:Title>
    <b:Year>Uppsala University 1995</b:Year>
    <b:RefOrder>50</b:RefOrder>
  </b:Source>
  <b:Source>
    <b:Tag>d</b:Tag>
    <b:SourceType>JournalArticle</b:SourceType>
    <b:Guid>{3A18B9EF-1823-4470-8F7F-5CBA2AF49BE1}</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47</b:RefOrder>
  </b:Source>
  <b:Source>
    <b:Tag>Qua98</b:Tag>
    <b:SourceType>JournalArticle</b:SourceType>
    <b:Guid>{C6DC89CC-5D2E-4466-AB82-B3E9D720CD71}</b:Guid>
    <b:LCID>0</b:LCID>
    <b:Author>
      <b:Author>
        <b:NameList>
          <b:Person>
            <b:Last>Quartarone</b:Last>
            <b:First>E.</b:First>
          </b:Person>
          <b:Person>
            <b:Last>Mustarelli</b:Last>
            <b:First>P.</b:First>
          </b:Person>
          <b:Person>
            <b:Last>Tomasi</b:Last>
            <b:First>C.</b:First>
          </b:Person>
          <b:Person>
            <b:Last>Magistris</b:Last>
            <b:First>A.</b:First>
          </b:Person>
        </b:NameList>
      </b:Author>
    </b:Author>
    <b:Title>Structure and Transport Properties of PEO-Li2-3B2O3 Mixed-Phase Composites</b:Title>
    <b:JournalName>J. Phys. Chem</b:JournalName>
    <b:Year>1998</b:Year>
    <b:Volume>9610-9616</b:Volume>
    <b:Issue>B 102</b:Issue>
    <b:RefOrder>12</b:RefOrder>
  </b:Source>
  <b:Source>
    <b:Tag>Row09</b:Tag>
    <b:SourceType>Book</b:SourceType>
    <b:Guid>{664894E0-8DEF-4BD9-B9C9-CFB6A1CB1FCC}</b:Guid>
    <b:LCID>0</b:LCID>
    <b:Author>
      <b:Author>
        <b:NameList>
          <b:Person>
            <b:Last>Rowe</b:Last>
            <b:First>Raymond</b:First>
            <b:Middle>C.</b:Middle>
          </b:Person>
          <b:Person>
            <b:Last>Sheskey</b:Last>
            <b:First>Paul</b:First>
            <b:Middle>J.</b:Middle>
          </b:Person>
          <b:Person>
            <b:Last>Quinn</b:Last>
            <b:First>Marian</b:First>
            <b:Middle>E.</b:Middle>
          </b:Person>
        </b:NameList>
      </b:Author>
    </b:Author>
    <b:Title>Handbook of Pharmaceutical Excipients</b:Title>
    <b:Year>sixth edition 2009</b:Year>
    <b:RefOrder>26</b:RefOrder>
  </b:Source>
  <b:Source>
    <b:Tag>R</b:Tag>
    <b:SourceType>JournalArticle</b:SourceType>
    <b:Guid>{8A9DD7B7-63FA-4E12-B3D6-4890DC29942F}</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25</b:RefOrder>
  </b:Source>
  <b:Source>
    <b:Tag>g</b:Tag>
    <b:SourceType>JournalArticle</b:SourceType>
    <b:Guid>{E9D572A0-7A78-484A-983D-9594CBC737D7}</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52</b:RefOrder>
  </b:Source>
  <b:Source>
    <b:Tag>Smi02</b:Tag>
    <b:SourceType>JournalArticle</b:SourceType>
    <b:Guid>{F8D45D9C-49F6-418E-A5F0-A291D86A4ED9}</b:Guid>
    <b:LCID>0</b:LCID>
    <b:Author>
      <b:Author>
        <b:NameList>
          <b:Person>
            <b:Last>Smith</b:Last>
            <b:First>P.</b:First>
            <b:Middle>R.</b:Middle>
          </b:Person>
          <b:Person>
            <b:Last>Pollard</b:Last>
            <b:First>D.</b:First>
          </b:Person>
        </b:NameList>
      </b:Author>
    </b:Author>
    <b:Title>The role of computer simulations in engineering education</b:Title>
    <b:Year>2002</b:Year>
    <b:Volume>335-340</b:Volume>
    <b:Issue>3</b:Issue>
    <b:Comments>doi:10.1016/0360-1315(86)90002-3</b:Comments>
    <b:JournalName>Computers &amp; Education</b:JournalName>
    <b:RefOrder>9</b:RefOrder>
  </b:Source>
  <b:Source>
    <b:Tag>V</b:Tag>
    <b:SourceType>Book</b:SourceType>
    <b:Guid>{AF9DB441-3FAD-4367-A51F-27111606A754}</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34</b:RefOrder>
  </b:Source>
  <b:Source>
    <b:Tag>AA</b:Tag>
    <b:SourceType>JournalArticle</b:SourceType>
    <b:Guid>{39314D8B-17DB-4976-902D-9DFEB2C16D3F}</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45</b:RefOrder>
  </b:Source>
  <b:Source>
    <b:Tag>Ste06</b:Tag>
    <b:SourceType>JournalArticle</b:SourceType>
    <b:Guid>{C3B0D3B5-D411-42CE-A7FA-F3E58A2B56DC}</b:Guid>
    <b:LCID>0</b:LCID>
    <b:Author>
      <b:Author>
        <b:NameList>
          <b:Person>
            <b:Last>Stephan</b:Last>
            <b:First>A.</b:First>
            <b:Middle>Manuel</b:Middle>
          </b:Person>
          <b:Person>
            <b:Last>Nahm</b:Last>
            <b:First>K.</b:First>
            <b:Middle>S.</b:Middle>
          </b:Person>
        </b:NameList>
      </b:Author>
    </b:Author>
    <b:Title>Review on composite polymer electrolytes for lithium batteries</b:Title>
    <b:JournalName>Polymer</b:JournalName>
    <b:Year>2006</b:Year>
    <b:Volume>5952-5964</b:Volume>
    <b:Issue>47</b:Issue>
    <b:RefOrder>60</b:RefOrder>
  </b:Source>
  <b:Source>
    <b:Tag>L</b:Tag>
    <b:SourceType>JournalArticle</b:SourceType>
    <b:Guid>{1722D9EE-D7BA-447E-AFCC-7254C65A88B2}</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32</b:RefOrder>
  </b:Source>
  <b:Source>
    <b:Tag>S</b:Tag>
    <b:SourceType>JournalArticle</b:SourceType>
    <b:Guid>{D980CC81-8D5B-450C-9AF3-8DF29773EBF2}</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10</b:RefOrder>
  </b:Source>
  <b:Source>
    <b:Tag>C</b:Tag>
    <b:SourceType>JournalArticle</b:SourceType>
    <b:Guid>{1A7E0FB3-7DC1-4FD4-9F1C-6DB0F3E9C586}</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14</b:RefOrder>
  </b:Source>
  <b:Source>
    <b:Tag>H</b:Tag>
    <b:SourceType>JournalArticle</b:SourceType>
    <b:Guid>{0F5CBBBF-1365-4E29-8D0B-452979892E3D}</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61</b:RefOrder>
  </b:Source>
  <b:Source>
    <b:Tag>AH</b:Tag>
    <b:SourceType>JournalArticle</b:SourceType>
    <b:Guid>{C9D70D69-BDD9-4D34-A09D-A8420E947835}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16</b:RefOrder>
  </b:Source>
  <b:Source>
    <b:Tag>And01</b:Tag>
    <b:SourceType>Book</b:SourceType>
    <b:Guid>{4FCA4C11-B709-4A7D-8776-639695BA19AB}</b:Guid>
    <b:LCID>0</b:LCID>
    <b:Author>
      <b:Author>
        <b:NameList>
          <b:Person>
            <b:Last>Andersson</b:Last>
            <b:First>Anna</b:First>
          </b:Person>
        </b:NameList>
      </b:Author>
    </b:Author>
    <b:Title>Surface Phenomena in Li-Ion Batteries</b:Title>
    <b:Year>2001</b:Year>
    <b:RefOrder>17</b:RefOrder>
  </b:Source>
</b:Sources>
</file>

<file path=customXml/itemProps1.xml><?xml version="1.0" encoding="utf-8"?>
<ds:datastoreItem xmlns:ds="http://schemas.openxmlformats.org/officeDocument/2006/customXml" ds:itemID="{40D50874-7B48-47C4-9FA6-52A65BC20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10751</Words>
  <Characters>62356</Characters>
  <Application>Microsoft Office Word</Application>
  <DocSecurity>0</DocSecurity>
  <Lines>519</Lines>
  <Paragraphs>145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72962</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Lenovo Ltd.</cp:lastModifiedBy>
  <cp:revision>3</cp:revision>
  <cp:lastPrinted>2012-05-18T11:28:00Z</cp:lastPrinted>
  <dcterms:created xsi:type="dcterms:W3CDTF">2012-05-19T17:48:00Z</dcterms:created>
  <dcterms:modified xsi:type="dcterms:W3CDTF">2012-05-19T17:54:00Z</dcterms:modified>
</cp:coreProperties>
</file>